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附件1</w:t>
      </w:r>
      <w:r>
        <w:rPr>
          <w:rFonts w:ascii="Times New Roman" w:hAnsi="Times New Roman" w:eastAsia="隶书"/>
          <w:b/>
          <w:bCs/>
          <w:sz w:val="32"/>
          <w:szCs w:val="32"/>
        </w:rPr>
        <w:t>.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白血病亚专科医师培训班</w:t>
      </w:r>
      <w:r>
        <w:rPr>
          <w:rFonts w:ascii="Times New Roman" w:hAnsi="Times New Roman" w:eastAsia="隶书"/>
          <w:b/>
          <w:bCs/>
          <w:sz w:val="32"/>
          <w:szCs w:val="32"/>
        </w:rPr>
        <w:t>申请表</w:t>
      </w:r>
    </w:p>
    <w:tbl>
      <w:tblPr>
        <w:tblStyle w:val="2"/>
        <w:tblpPr w:leftFromText="180" w:rightFromText="180" w:vertAnchor="text" w:horzAnchor="margin" w:tblpY="15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"/>
        <w:gridCol w:w="798"/>
        <w:gridCol w:w="530"/>
        <w:gridCol w:w="1134"/>
        <w:gridCol w:w="961"/>
        <w:gridCol w:w="173"/>
        <w:gridCol w:w="1531"/>
        <w:gridCol w:w="1464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    名</w:t>
            </w:r>
          </w:p>
        </w:tc>
        <w:tc>
          <w:tcPr>
            <w:tcW w:w="13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性　　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    历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工作年限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职    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工作单位及科室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医院等级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通讯地址</w:t>
            </w:r>
          </w:p>
        </w:tc>
        <w:tc>
          <w:tcPr>
            <w:tcW w:w="512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邮    编</w:t>
            </w:r>
          </w:p>
        </w:tc>
        <w:tc>
          <w:tcPr>
            <w:tcW w:w="1332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7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开班年份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202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年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开班期数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 xml:space="preserve">3月期    </w:t>
            </w:r>
            <w:r>
              <w:rPr>
                <w:rFonts w:hint="eastAsia" w:ascii="Times New Roman" w:hAnsi="Times New Roman"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</w:rPr>
              <w:t>9月期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联系方式</w:t>
            </w: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个人电话：                     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4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单位电话：</w:t>
            </w:r>
          </w:p>
        </w:tc>
        <w:tc>
          <w:tcPr>
            <w:tcW w:w="450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0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学习经历</w:t>
            </w:r>
          </w:p>
        </w:tc>
        <w:tc>
          <w:tcPr>
            <w:tcW w:w="792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77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工作经历</w:t>
            </w:r>
          </w:p>
        </w:tc>
        <w:tc>
          <w:tcPr>
            <w:tcW w:w="7923" w:type="dxa"/>
            <w:gridSpan w:val="8"/>
            <w:tcBorders>
              <w:bottom w:val="single" w:color="auto" w:sz="2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065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选送单位科室主任推荐意见</w:t>
            </w:r>
          </w:p>
        </w:tc>
        <w:tc>
          <w:tcPr>
            <w:tcW w:w="7935" w:type="dxa"/>
            <w:gridSpan w:val="9"/>
            <w:tcBorders>
              <w:bottom w:val="single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科室主任签字：</w:t>
            </w:r>
          </w:p>
          <w:p>
            <w:pPr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7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7923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　　　　　　　　（单位公章）　  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92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pPr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16"/>
        </w:rPr>
        <w:t>注：资料直接扫描电子版发送至edu@ihcams.ac.cn。（邮件名称：姓名+开班年份+期数）。</w:t>
      </w:r>
    </w:p>
    <w:p>
      <w:pPr>
        <w:rPr>
          <w:rFonts w:ascii="Times New Roman" w:hAnsi="Times New Roman" w:eastAsia="隶书"/>
          <w:b/>
          <w:bCs/>
          <w:sz w:val="32"/>
          <w:szCs w:val="32"/>
        </w:rPr>
      </w:pPr>
    </w:p>
    <w:p>
      <w:pPr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附件</w:t>
      </w:r>
      <w:r>
        <w:rPr>
          <w:rFonts w:ascii="Times New Roman" w:hAnsi="Times New Roman" w:eastAsia="隶书"/>
          <w:b/>
          <w:bCs/>
          <w:sz w:val="32"/>
          <w:szCs w:val="32"/>
        </w:rPr>
        <w:t>2.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白血病亚专科医师</w:t>
      </w:r>
      <w:r>
        <w:rPr>
          <w:rFonts w:ascii="Times New Roman" w:hAnsi="Times New Roman" w:eastAsia="隶书"/>
          <w:b/>
          <w:bCs/>
          <w:sz w:val="32"/>
          <w:szCs w:val="32"/>
        </w:rPr>
        <w:t>培训班</w:t>
      </w:r>
      <w:r>
        <w:rPr>
          <w:rFonts w:hint="eastAsia" w:ascii="Times New Roman" w:hAnsi="Times New Roman" w:eastAsia="隶书"/>
          <w:b/>
          <w:bCs/>
          <w:sz w:val="32"/>
          <w:szCs w:val="32"/>
        </w:rPr>
        <w:t>—课程安排</w:t>
      </w:r>
    </w:p>
    <w:p/>
    <w:p>
      <w:pPr>
        <w:widowControl/>
        <w:spacing w:line="360" w:lineRule="auto"/>
        <w:jc w:val="left"/>
        <w:rPr>
          <w:rFonts w:ascii="Times New Roman" w:hAnsi="Times New Roman" w:eastAsia="黑体" w:cs="Times New Roman"/>
          <w:color w:val="000000"/>
        </w:rPr>
      </w:pPr>
      <w:r>
        <w:rPr>
          <w:rFonts w:hint="eastAsia" w:ascii="Times New Roman" w:hAnsi="Times New Roman" w:eastAsia="黑体" w:cs="Times New Roman"/>
          <w:color w:val="000000"/>
        </w:rPr>
        <w:t>一、基础理论课程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白血病总论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白血病骨髓形态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白血病流式细胞学检查的价值和应用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微小残留病检查的方法以及意义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NGS在白血病中的应用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染色体核型的命名以及预后意义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 w:ascii="Times New Roman" w:hAnsi="Times New Roman" w:eastAsia="仿宋" w:cs="Times New Roman"/>
        </w:rPr>
        <w:t>常见化疗药物介绍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color w:val="000000"/>
        </w:rPr>
      </w:pPr>
      <w:r>
        <w:rPr>
          <w:rFonts w:hint="eastAsia" w:ascii="Times New Roman" w:hAnsi="Times New Roman" w:eastAsia="黑体" w:cs="Times New Roman"/>
          <w:color w:val="000000"/>
        </w:rPr>
        <w:t>二、疾病篇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急性髓系白血病（非APL）的诊断以及治疗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急性髓系白血病靶向药物治疗进展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急性早幼粒细胞白血病的治疗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成人急性淋巴细胞白血病的诊断以及预后分层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成人ph阴性急性淋巴细胞白血病的治疗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ph+急性淋巴细胞白血病的治疗进展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T-ALL的治疗进展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ph样急淋的诊断以及治疗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慢性髓系白血病的诊疗进展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老年白血病的治疗选择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粒缺伴发热的治疗经验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</w:rPr>
        <w:t>CAR-T治疗急性白血病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color w:val="000000"/>
        </w:rPr>
      </w:pPr>
      <w:r>
        <w:rPr>
          <w:rFonts w:hint="eastAsia" w:ascii="Times New Roman" w:hAnsi="Times New Roman" w:eastAsia="黑体" w:cs="Times New Roman"/>
          <w:color w:val="000000"/>
        </w:rPr>
        <w:t>三、临床研究设计以及常用统计方法介绍</w:t>
      </w:r>
    </w:p>
    <w:p>
      <w:pPr>
        <w:widowControl/>
        <w:spacing w:line="360" w:lineRule="auto"/>
        <w:jc w:val="left"/>
      </w:pPr>
      <w:r>
        <w:rPr>
          <w:rFonts w:hint="eastAsia" w:ascii="Times New Roman" w:hAnsi="Times New Roman" w:eastAsia="黑体" w:cs="Times New Roman"/>
          <w:color w:val="000000"/>
        </w:rPr>
        <w:t>四、中文核心期刊论文写作和发表</w:t>
      </w:r>
      <w:bookmarkStart w:id="0" w:name="_GoBack"/>
      <w:bookmarkEnd w:id="0"/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6202D"/>
    <w:multiLevelType w:val="multilevel"/>
    <w:tmpl w:val="66B6202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8146E6"/>
    <w:multiLevelType w:val="multilevel"/>
    <w:tmpl w:val="7B8146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ZmI5Njc4YjBmZTk0NWIwZGY5ZWI3N2ZhY2M4MjEifQ=="/>
  </w:docVars>
  <w:rsids>
    <w:rsidRoot w:val="00000000"/>
    <w:rsid w:val="45296CED"/>
    <w:rsid w:val="793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2022-09-27T06:58:00Z</dcterms:created>
  <dc:creator>11364</dc:creator>
  <cp:lastModifiedBy>月上幽祭</cp:lastModifiedBy>
  <dcterms:modified xsi:type="dcterms:W3CDTF">2022-12-21T06:46:19Z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83D3DBCB6028424697D6F64704AAB6D6</vt:lpwstr>
  </property>
</Properties>
</file>