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95AD" w14:textId="67AECD09" w:rsidR="005D23E2" w:rsidRDefault="005D23E2" w:rsidP="005D23E2">
      <w:pPr>
        <w:pStyle w:val="2"/>
        <w:widowControl/>
        <w:shd w:val="clear" w:color="auto" w:fill="FFFFFF"/>
        <w:spacing w:after="210" w:line="360" w:lineRule="auto"/>
        <w:ind w:firstLine="695"/>
        <w:jc w:val="center"/>
        <w:rPr>
          <w:rFonts w:ascii="黑体" w:eastAsia="黑体" w:hAnsi="黑体" w:cs="黑体" w:hint="eastAsia"/>
          <w:color w:val="333333"/>
          <w:spacing w:val="8"/>
          <w:sz w:val="33"/>
          <w:szCs w:val="33"/>
        </w:rPr>
      </w:pPr>
      <w:bookmarkStart w:id="0" w:name="OLE_LINK2"/>
      <w:r>
        <w:rPr>
          <w:rFonts w:ascii="黑体" w:eastAsia="黑体" w:hAnsi="黑体" w:cs="黑体" w:hint="eastAsia"/>
          <w:color w:val="333333"/>
          <w:spacing w:val="8"/>
          <w:sz w:val="33"/>
          <w:szCs w:val="33"/>
          <w:shd w:val="clear" w:color="auto" w:fill="FFFFFF"/>
        </w:rPr>
        <w:t>临床诊疗知识库</w:t>
      </w:r>
    </w:p>
    <w:bookmarkEnd w:id="0"/>
    <w:p w14:paraId="012F5521" w14:textId="09CAFEE8" w:rsidR="005D23E2" w:rsidRPr="005D23E2" w:rsidRDefault="005D23E2" w:rsidP="005D23E2">
      <w:pPr>
        <w:pStyle w:val="4"/>
        <w:numPr>
          <w:ilvl w:val="1"/>
          <w:numId w:val="8"/>
        </w:numPr>
        <w:ind w:left="0" w:firstLine="562"/>
      </w:pPr>
      <w:r>
        <w:rPr>
          <w:rFonts w:hint="eastAsia"/>
        </w:rPr>
        <w:t>西医知识库</w:t>
      </w:r>
    </w:p>
    <w:p w14:paraId="327AFBA0" w14:textId="64B4A51E" w:rsidR="005D23E2" w:rsidRDefault="005D23E2" w:rsidP="005D23E2">
      <w:pPr>
        <w:spacing w:line="300" w:lineRule="auto"/>
        <w:ind w:firstLine="480"/>
        <w:rPr>
          <w:b/>
          <w:bCs/>
          <w:sz w:val="24"/>
        </w:rPr>
      </w:pPr>
      <w:r>
        <w:rPr>
          <w:rFonts w:hint="eastAsia"/>
          <w:sz w:val="24"/>
        </w:rPr>
        <w:t>临床诊疗知识库</w:t>
      </w:r>
      <w:r>
        <w:rPr>
          <w:rFonts w:hint="eastAsia"/>
          <w:sz w:val="24"/>
        </w:rPr>
        <w:t>V3.2</w:t>
      </w:r>
      <w:r>
        <w:rPr>
          <w:rFonts w:hint="eastAsia"/>
          <w:sz w:val="24"/>
        </w:rPr>
        <w:t>，主要包括辅助诊疗、疾病、药品、临床指南、临床路径、辅助检查、操作规范、麻醉、护理、循证文献、政策法规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个模块，在后台数据</w:t>
      </w:r>
      <w:r>
        <w:rPr>
          <w:rFonts w:hint="eastAsia"/>
          <w:sz w:val="24"/>
        </w:rPr>
        <w:t>XML</w:t>
      </w:r>
      <w:r>
        <w:rPr>
          <w:rFonts w:hint="eastAsia"/>
          <w:sz w:val="24"/>
        </w:rPr>
        <w:t>化的基础上优化检索、聚类标引策略并重新设计展示方式，提供更好的辅助于临床决策的知识服务。用户群主要为二级及三级医院。具备为临床诊疗全程提供决策支撑的</w:t>
      </w:r>
      <w:proofErr w:type="gramStart"/>
      <w:r>
        <w:rPr>
          <w:rFonts w:hint="eastAsia"/>
          <w:sz w:val="24"/>
        </w:rPr>
        <w:t>完整知识</w:t>
      </w:r>
      <w:proofErr w:type="gramEnd"/>
      <w:r>
        <w:rPr>
          <w:rFonts w:hint="eastAsia"/>
          <w:sz w:val="24"/>
        </w:rPr>
        <w:t>体系及不断更新的最新证据文献。目前分为</w:t>
      </w:r>
      <w:r>
        <w:rPr>
          <w:rFonts w:hint="eastAsia"/>
          <w:b/>
          <w:bCs/>
          <w:sz w:val="24"/>
        </w:rPr>
        <w:t>：</w:t>
      </w:r>
    </w:p>
    <w:p w14:paraId="3314073C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辅助诊疗</w:t>
      </w:r>
    </w:p>
    <w:p w14:paraId="22666808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基于期刊病例的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框式检索，通过输入症状、体征等检索词，聚类提示</w:t>
      </w:r>
      <w:r>
        <w:rPr>
          <w:rFonts w:hint="eastAsia"/>
          <w:b/>
          <w:bCs/>
          <w:sz w:val="24"/>
        </w:rPr>
        <w:t>可能的疾病</w:t>
      </w:r>
      <w:r>
        <w:rPr>
          <w:rFonts w:hint="eastAsia"/>
          <w:sz w:val="24"/>
        </w:rPr>
        <w:t>，直接关联疾病知识、药品和辅助检查、指南、循证文献模块，帮助医生临床问诊。该模块是整个诊疗库的入口，包含期刊病例文献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万多篇。</w:t>
      </w:r>
    </w:p>
    <w:p w14:paraId="4DB1CF93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疾病</w:t>
      </w:r>
    </w:p>
    <w:p w14:paraId="39751DFC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共收录了临床约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万种疾病的具体信息。通过辅助诊疗模块，提示可能疾病，关联到此模块中，也可以直接检索疾病。具体每种疾病，展示疾病名称、临床表现、并发症、实验室检查、其他辅助检查、诊断、鉴别诊断、治疗等内容。按照临床学科分类，是临床诊疗知识库的核心内容，人工关联药品、检查、操作模块。</w:t>
      </w:r>
    </w:p>
    <w:p w14:paraId="5D0C0F62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药品</w:t>
      </w:r>
    </w:p>
    <w:p w14:paraId="32B6FD57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按照药理学分类，收录了约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万种药品，每种药品主要展示剂型、药理作用、药动学、适应证、禁忌证、注意事项、不良反应、药物相互作用、用法用量等内容。提供检索与导航两种检索方式。</w:t>
      </w:r>
    </w:p>
    <w:p w14:paraId="3121CB2C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临床指南</w:t>
      </w:r>
    </w:p>
    <w:p w14:paraId="787C2548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及时出版最新发表的</w:t>
      </w:r>
      <w:r>
        <w:rPr>
          <w:rFonts w:hint="eastAsia"/>
          <w:sz w:val="24"/>
        </w:rPr>
        <w:t>CHKD</w:t>
      </w:r>
      <w:r>
        <w:rPr>
          <w:rFonts w:hint="eastAsia"/>
          <w:sz w:val="24"/>
        </w:rPr>
        <w:t>收录的指南与专家共识，支持直接查找疾病、药品等指南，并对指南进行类别、学科、时间、来源的分组聚类功能。全部包含公开发表指南、专家共识、指南解读等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万余篇。</w:t>
      </w:r>
    </w:p>
    <w:p w14:paraId="4DAF343D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临床路径</w:t>
      </w:r>
    </w:p>
    <w:p w14:paraId="5573F661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共收录了卫健委正式发布的</w:t>
      </w:r>
      <w:r>
        <w:rPr>
          <w:rFonts w:hint="eastAsia"/>
          <w:sz w:val="24"/>
        </w:rPr>
        <w:t>1400</w:t>
      </w:r>
      <w:r>
        <w:rPr>
          <w:rFonts w:hint="eastAsia"/>
          <w:sz w:val="24"/>
        </w:rPr>
        <w:t>余条临床路径。</w:t>
      </w:r>
    </w:p>
    <w:p w14:paraId="5CBFC87E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辅助检查</w:t>
      </w:r>
    </w:p>
    <w:p w14:paraId="447B8122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共收录了</w:t>
      </w:r>
      <w:r>
        <w:rPr>
          <w:rFonts w:hint="eastAsia"/>
          <w:sz w:val="24"/>
        </w:rPr>
        <w:t>7000</w:t>
      </w:r>
      <w:r>
        <w:rPr>
          <w:rFonts w:hint="eastAsia"/>
          <w:sz w:val="24"/>
        </w:rPr>
        <w:t>多项辅助检查的具体信息，包括概述、原理、试剂、操作方法、正常值、临床意义、附注等内容，提供检索与导航两种检索方式。</w:t>
      </w:r>
    </w:p>
    <w:p w14:paraId="5115DCC0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操作规范</w:t>
      </w:r>
    </w:p>
    <w:p w14:paraId="4EC2A510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共收录了</w:t>
      </w:r>
      <w:r>
        <w:rPr>
          <w:rFonts w:hint="eastAsia"/>
          <w:sz w:val="24"/>
        </w:rPr>
        <w:t>3000</w:t>
      </w:r>
      <w:r>
        <w:rPr>
          <w:rFonts w:hint="eastAsia"/>
          <w:sz w:val="24"/>
        </w:rPr>
        <w:t>多种临床操作规范，包括适应证、禁忌证、准备、方法、结</w:t>
      </w:r>
      <w:r>
        <w:rPr>
          <w:rFonts w:hint="eastAsia"/>
          <w:sz w:val="24"/>
        </w:rPr>
        <w:lastRenderedPageBreak/>
        <w:t>果判断、注意事项等内容，辅助医务人员的临床医疗工作的各种操作规范化。提供检索与导航两种检索方式。</w:t>
      </w:r>
    </w:p>
    <w:p w14:paraId="1C43458F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麻醉</w:t>
      </w:r>
    </w:p>
    <w:p w14:paraId="5BD04442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按照临床分科，共收录了临床实用麻醉知识</w:t>
      </w:r>
      <w:r>
        <w:rPr>
          <w:rFonts w:hint="eastAsia"/>
          <w:sz w:val="24"/>
        </w:rPr>
        <w:t>200</w:t>
      </w:r>
      <w:r>
        <w:rPr>
          <w:rFonts w:hint="eastAsia"/>
          <w:sz w:val="24"/>
        </w:rPr>
        <w:t>余条，包括概述、术前管理、麻醉前评估、麻醉前准备、麻醉前用药、麻醉选择、术中管理、麻醉术中检测、麻醉管理、麻醉方法、术后管理、恢复期管理、麻醉并发症、注意事项等内容，辅助麻醉医师在临床工作过程中的麻醉规范化。提供检索与导航两种检索方式。</w:t>
      </w:r>
    </w:p>
    <w:p w14:paraId="5FD7727D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护理</w:t>
      </w:r>
    </w:p>
    <w:p w14:paraId="67500F6E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按照临床分科，共收录了各科护理知识</w:t>
      </w:r>
      <w:r>
        <w:rPr>
          <w:rFonts w:hint="eastAsia"/>
          <w:sz w:val="24"/>
        </w:rPr>
        <w:t>1800</w:t>
      </w:r>
      <w:r>
        <w:rPr>
          <w:rFonts w:hint="eastAsia"/>
          <w:sz w:val="24"/>
        </w:rPr>
        <w:t>余条，包括概述、病因与发病机制、护理评估、护理诊断、预期目标、护理措施、护理评价、健康教育等内容，辅助护理人员在临床工作过程中的护理规范化。提供检索与导航两种检索方式。</w:t>
      </w:r>
    </w:p>
    <w:p w14:paraId="056CEFFE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循证文献</w:t>
      </w:r>
    </w:p>
    <w:p w14:paraId="3F3F8E82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共收录了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多万篇临床循证文献，为诊断治疗规范化提供参考与借鉴，对检索结果进行类别、时间、主题、来源分组聚类，提高结果筛选效率。</w:t>
      </w:r>
    </w:p>
    <w:p w14:paraId="044AE3A7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政策法规</w:t>
      </w:r>
    </w:p>
    <w:p w14:paraId="480C29A7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共收录了目前还在生效的医疗相关法律法规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余部，并不断更新。提供检索与导航两种检索方式。</w:t>
      </w:r>
    </w:p>
    <w:p w14:paraId="15A6B70C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临床文献</w:t>
      </w:r>
    </w:p>
    <w:p w14:paraId="37C916DC" w14:textId="77777777" w:rsidR="005D23E2" w:rsidRDefault="005D23E2" w:rsidP="005D23E2">
      <w:pPr>
        <w:spacing w:line="360" w:lineRule="auto"/>
        <w:ind w:firstLineChars="175" w:firstLine="420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hint="eastAsia"/>
          <w:sz w:val="24"/>
        </w:rPr>
        <w:t>共收录了临床文献约</w:t>
      </w:r>
      <w:r>
        <w:rPr>
          <w:rFonts w:hint="eastAsia"/>
          <w:sz w:val="24"/>
        </w:rPr>
        <w:t>300</w:t>
      </w:r>
      <w:r>
        <w:rPr>
          <w:sz w:val="24"/>
        </w:rPr>
        <w:t>万篇。</w:t>
      </w:r>
    </w:p>
    <w:p w14:paraId="387EC50C" w14:textId="77777777" w:rsidR="005D23E2" w:rsidRDefault="005D23E2" w:rsidP="005D23E2">
      <w:pPr>
        <w:spacing w:line="360" w:lineRule="auto"/>
        <w:ind w:firstLineChars="175" w:firstLine="420"/>
        <w:rPr>
          <w:rFonts w:asciiTheme="minorEastAsia" w:hAnsiTheme="minorEastAsia" w:cs="宋体" w:hint="eastAsia"/>
          <w:kern w:val="0"/>
          <w:sz w:val="24"/>
          <w:szCs w:val="24"/>
        </w:rPr>
      </w:pPr>
    </w:p>
    <w:p w14:paraId="725A3001" w14:textId="77777777" w:rsidR="005D23E2" w:rsidRDefault="005D23E2" w:rsidP="005D23E2">
      <w:pPr>
        <w:pStyle w:val="4"/>
        <w:numPr>
          <w:ilvl w:val="1"/>
          <w:numId w:val="8"/>
        </w:numPr>
        <w:ind w:left="0" w:firstLine="562"/>
      </w:pPr>
      <w:r>
        <w:rPr>
          <w:rFonts w:hint="eastAsia"/>
        </w:rPr>
        <w:t>中医药知识库</w:t>
      </w:r>
    </w:p>
    <w:p w14:paraId="08F07D9E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中医临床诊疗知识库是</w:t>
      </w:r>
      <w:proofErr w:type="gramStart"/>
      <w:r>
        <w:rPr>
          <w:rFonts w:hint="eastAsia"/>
          <w:sz w:val="24"/>
        </w:rPr>
        <w:t>中国知网基于</w:t>
      </w:r>
      <w:proofErr w:type="gramEnd"/>
      <w:r>
        <w:rPr>
          <w:rFonts w:hint="eastAsia"/>
          <w:sz w:val="24"/>
        </w:rPr>
        <w:t>教材、指南、路径、药典、标准、名家经验、古典文献、现代报道等权威数据，运用知识图谱技术融通病脉证治方药，打造的面向诊疗实践的中医为主、中西并重的综合性知识服务平台。</w:t>
      </w:r>
    </w:p>
    <w:p w14:paraId="0D0FD591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知识库</w:t>
      </w:r>
      <w:proofErr w:type="gramStart"/>
      <w:r>
        <w:rPr>
          <w:rFonts w:hint="eastAsia"/>
          <w:sz w:val="24"/>
        </w:rPr>
        <w:t>包含十</w:t>
      </w:r>
      <w:proofErr w:type="gramEnd"/>
      <w:r>
        <w:rPr>
          <w:rFonts w:hint="eastAsia"/>
          <w:sz w:val="24"/>
        </w:rPr>
        <w:t>大内容模块：病证、方剂、中药、中成药、医案、经穴、适宜技术、临床路径、古籍、现代文献。</w:t>
      </w:r>
    </w:p>
    <w:p w14:paraId="3380D3E0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资料主要来源于：全国中医药行业高等教育规划教材，中华中医药学会中医临床诊疗指南，《中华人民共和国药典》，国家标准，行业标准，名老中医医案，中医经典古籍等。</w:t>
      </w:r>
    </w:p>
    <w:p w14:paraId="704CF4B1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病证</w:t>
      </w:r>
    </w:p>
    <w:p w14:paraId="53540C9B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包括内科、外科、妇科、儿科、耳科、鼻科、咽喉科、骨伤科、眼科、温病科等科别，基本做到了对临床各科病证的全覆盖。总数达</w:t>
      </w:r>
      <w:r>
        <w:rPr>
          <w:rFonts w:hint="eastAsia"/>
          <w:sz w:val="24"/>
        </w:rPr>
        <w:t>4000</w:t>
      </w:r>
      <w:r>
        <w:rPr>
          <w:rFonts w:hint="eastAsia"/>
          <w:sz w:val="24"/>
        </w:rPr>
        <w:t>多个。</w:t>
      </w:r>
    </w:p>
    <w:p w14:paraId="5A747C23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lastRenderedPageBreak/>
        <w:t>每种病证详列：概览、辨病、辨证、论治、临床研究、宣教，以及文献推介等内容。</w:t>
      </w:r>
    </w:p>
    <w:p w14:paraId="41CB1EC9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方剂</w:t>
      </w:r>
    </w:p>
    <w:p w14:paraId="2868D738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基本涵盖了临床各科教材中涉及的所有常用方剂，总数达</w:t>
      </w:r>
      <w:r>
        <w:rPr>
          <w:rFonts w:hint="eastAsia"/>
          <w:sz w:val="24"/>
        </w:rPr>
        <w:t>3000</w:t>
      </w:r>
      <w:r>
        <w:rPr>
          <w:rFonts w:hint="eastAsia"/>
          <w:sz w:val="24"/>
        </w:rPr>
        <w:t>多首。每首方剂详列：概览、</w:t>
      </w:r>
      <w:proofErr w:type="gramStart"/>
      <w:r>
        <w:rPr>
          <w:rFonts w:hint="eastAsia"/>
          <w:sz w:val="24"/>
        </w:rPr>
        <w:t>功治运用</w:t>
      </w:r>
      <w:proofErr w:type="gramEnd"/>
      <w:r>
        <w:rPr>
          <w:rFonts w:hint="eastAsia"/>
          <w:sz w:val="24"/>
        </w:rPr>
        <w:t>、制方原理、临床应用、制法用法，以及鉴别用方、类方等。</w:t>
      </w:r>
    </w:p>
    <w:p w14:paraId="59153CC9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中药</w:t>
      </w:r>
    </w:p>
    <w:p w14:paraId="1EC9C2C3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基本涵盖了常用方剂中涉及到的所有常用中药及饮片，总数达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味。</w:t>
      </w:r>
    </w:p>
    <w:p w14:paraId="3D418137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每味中药详列：概览、效用配伍、用法、现代研究，以及中药比较、附药等。</w:t>
      </w:r>
    </w:p>
    <w:p w14:paraId="1506F4AC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中成药</w:t>
      </w:r>
    </w:p>
    <w:p w14:paraId="46E52E38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基本涵盖了临床常用中成药品种，总数达</w:t>
      </w:r>
      <w:r>
        <w:rPr>
          <w:rFonts w:hint="eastAsia"/>
          <w:sz w:val="24"/>
        </w:rPr>
        <w:t>1600</w:t>
      </w:r>
      <w:r>
        <w:rPr>
          <w:rFonts w:hint="eastAsia"/>
          <w:sz w:val="24"/>
        </w:rPr>
        <w:t>种。</w:t>
      </w:r>
    </w:p>
    <w:p w14:paraId="612AFBF9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每种中成药详列：概览、</w:t>
      </w:r>
      <w:proofErr w:type="gramStart"/>
      <w:r>
        <w:rPr>
          <w:rFonts w:hint="eastAsia"/>
          <w:sz w:val="24"/>
        </w:rPr>
        <w:t>功治运用</w:t>
      </w:r>
      <w:proofErr w:type="gramEnd"/>
      <w:r>
        <w:rPr>
          <w:rFonts w:hint="eastAsia"/>
          <w:sz w:val="24"/>
        </w:rPr>
        <w:t>、制法用法，以及其他剂型等。</w:t>
      </w:r>
    </w:p>
    <w:p w14:paraId="4911734C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医案</w:t>
      </w:r>
    </w:p>
    <w:p w14:paraId="3D80FD68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基本涵盖了临床各科常见病证医案，总数达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多则。</w:t>
      </w:r>
    </w:p>
    <w:p w14:paraId="18864D9C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每则医案详列：初诊及各诊信息。</w:t>
      </w:r>
    </w:p>
    <w:p w14:paraId="735C1071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古籍</w:t>
      </w:r>
    </w:p>
    <w:p w14:paraId="2DEFB6CA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基本涵盖了中医常见经典古籍，总数达</w:t>
      </w:r>
      <w:r>
        <w:rPr>
          <w:rFonts w:hint="eastAsia"/>
          <w:sz w:val="24"/>
        </w:rPr>
        <w:t>650</w:t>
      </w:r>
      <w:r>
        <w:rPr>
          <w:rFonts w:hint="eastAsia"/>
          <w:sz w:val="24"/>
        </w:rPr>
        <w:t>多本。</w:t>
      </w:r>
    </w:p>
    <w:p w14:paraId="6044210C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每部古籍详列：顺序浏览、篇章导航。</w:t>
      </w:r>
    </w:p>
    <w:p w14:paraId="30B4B602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经穴</w:t>
      </w:r>
    </w:p>
    <w:p w14:paraId="1FB72CBE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基本涵盖了十二正经、奇经八脉，经穴和常用经外奇穴，穴位总数达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多个。</w:t>
      </w:r>
    </w:p>
    <w:p w14:paraId="513C2979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经络详列：概览、络脉、经别、经筋、经穴等。</w:t>
      </w:r>
    </w:p>
    <w:p w14:paraId="0C0FE67E" w14:textId="77777777" w:rsidR="005D23E2" w:rsidRDefault="005D23E2" w:rsidP="005D23E2">
      <w:pPr>
        <w:spacing w:line="300" w:lineRule="auto"/>
        <w:ind w:firstLine="480"/>
        <w:rPr>
          <w:sz w:val="24"/>
        </w:rPr>
      </w:pPr>
      <w:proofErr w:type="gramStart"/>
      <w:r>
        <w:rPr>
          <w:rFonts w:hint="eastAsia"/>
          <w:sz w:val="24"/>
        </w:rPr>
        <w:t>腧</w:t>
      </w:r>
      <w:proofErr w:type="gramEnd"/>
      <w:r>
        <w:rPr>
          <w:rFonts w:hint="eastAsia"/>
          <w:sz w:val="24"/>
        </w:rPr>
        <w:t>穴详列：概览、定位、用穴等。</w:t>
      </w:r>
    </w:p>
    <w:p w14:paraId="590A39F4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适宜技术</w:t>
      </w:r>
    </w:p>
    <w:p w14:paraId="785E18BC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sz w:val="24"/>
        </w:rPr>
        <w:t>涵盖临床病证</w:t>
      </w:r>
      <w:r>
        <w:rPr>
          <w:rFonts w:hint="eastAsia"/>
          <w:sz w:val="24"/>
        </w:rPr>
        <w:t>约</w:t>
      </w:r>
      <w:r>
        <w:rPr>
          <w:sz w:val="24"/>
        </w:rPr>
        <w:t>9</w:t>
      </w:r>
      <w:r>
        <w:rPr>
          <w:rFonts w:hint="eastAsia"/>
          <w:sz w:val="24"/>
        </w:rPr>
        <w:t>00</w:t>
      </w:r>
      <w:r>
        <w:rPr>
          <w:sz w:val="24"/>
        </w:rPr>
        <w:t>种。</w:t>
      </w:r>
    </w:p>
    <w:p w14:paraId="4CE7CEFF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sz w:val="24"/>
        </w:rPr>
        <w:t>疗法详列：概述、基础、技法、禁忌注意、临床等。</w:t>
      </w:r>
    </w:p>
    <w:p w14:paraId="73FCD949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sz w:val="24"/>
        </w:rPr>
        <w:t>病证详列：概览、辨病、辨证、临床研究等。</w:t>
      </w:r>
    </w:p>
    <w:p w14:paraId="4628BEC1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临床路径</w:t>
      </w:r>
    </w:p>
    <w:p w14:paraId="242AC80F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sz w:val="24"/>
        </w:rPr>
        <w:t>涵盖</w:t>
      </w:r>
      <w:r>
        <w:rPr>
          <w:rFonts w:hint="eastAsia"/>
          <w:sz w:val="24"/>
        </w:rPr>
        <w:t>1</w:t>
      </w:r>
      <w:r>
        <w:rPr>
          <w:sz w:val="24"/>
        </w:rPr>
        <w:t>97</w:t>
      </w:r>
      <w:r>
        <w:rPr>
          <w:rFonts w:hint="eastAsia"/>
          <w:sz w:val="24"/>
        </w:rPr>
        <w:t>种</w:t>
      </w:r>
      <w:r>
        <w:rPr>
          <w:sz w:val="24"/>
        </w:rPr>
        <w:t>重要中医病证的临床路径。</w:t>
      </w:r>
    </w:p>
    <w:p w14:paraId="1849A80A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每条路径</w:t>
      </w:r>
      <w:r>
        <w:rPr>
          <w:sz w:val="24"/>
        </w:rPr>
        <w:t>详列</w:t>
      </w:r>
      <w:r>
        <w:rPr>
          <w:rFonts w:hint="eastAsia"/>
          <w:sz w:val="24"/>
        </w:rPr>
        <w:t>：</w:t>
      </w:r>
      <w:r>
        <w:rPr>
          <w:sz w:val="24"/>
        </w:rPr>
        <w:t>标准住院诊治流程、标准住院表单</w:t>
      </w:r>
      <w:r>
        <w:rPr>
          <w:rFonts w:hint="eastAsia"/>
          <w:sz w:val="24"/>
        </w:rPr>
        <w:t>。</w:t>
      </w:r>
    </w:p>
    <w:p w14:paraId="5CC05123" w14:textId="77777777" w:rsidR="005D23E2" w:rsidRDefault="005D23E2" w:rsidP="005D23E2">
      <w:pPr>
        <w:numPr>
          <w:ilvl w:val="0"/>
          <w:numId w:val="9"/>
        </w:numPr>
        <w:spacing w:line="360" w:lineRule="auto"/>
        <w:ind w:firstLine="482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现代文献</w:t>
      </w:r>
    </w:p>
    <w:p w14:paraId="58F58CD2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内容涵盖中医学、中药学、中西医结合、西医临床与药学、医药卫生方针政策、预防医学、民族学和哲学等中医院所需知识内容。资源类型包括：期刊、博士论文、硕士论文、国内会议、国际会议、报纸、科技成果、工具书，基于</w:t>
      </w:r>
      <w:proofErr w:type="gramStart"/>
      <w:r>
        <w:rPr>
          <w:rFonts w:hint="eastAsia"/>
          <w:sz w:val="24"/>
        </w:rPr>
        <w:t>知网</w:t>
      </w:r>
      <w:r>
        <w:rPr>
          <w:rFonts w:hint="eastAsia"/>
          <w:sz w:val="24"/>
        </w:rPr>
        <w:lastRenderedPageBreak/>
        <w:t>成熟</w:t>
      </w:r>
      <w:proofErr w:type="gramEnd"/>
      <w:r>
        <w:rPr>
          <w:rFonts w:hint="eastAsia"/>
          <w:sz w:val="24"/>
        </w:rPr>
        <w:t>KNS6.0</w:t>
      </w:r>
      <w:r>
        <w:rPr>
          <w:rFonts w:hint="eastAsia"/>
          <w:sz w:val="24"/>
        </w:rPr>
        <w:t>平台技术与数据挖掘技术对内容进行展现。</w:t>
      </w:r>
    </w:p>
    <w:p w14:paraId="5F283DB6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检索界面：提供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框式检索、高级检索、专业检索、作者发文检索、句子检索五种检索方式，满足各种检索习惯及检索要求；树形导航结构提供更专业便捷的文献浏览方式；提供发表年度、来源数据库、行业分类、关键词、作者等聚类分析；根据检索词针对性的推荐该领域相关学者。</w:t>
      </w:r>
    </w:p>
    <w:p w14:paraId="25D45EC3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出版物导航：提供期刊、报纸、会议论文集、工具书导航。</w:t>
      </w:r>
    </w:p>
    <w:p w14:paraId="5F442B0A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导出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参考文献：可以将选定文献导出为参考文献或者其他各种形式如：</w:t>
      </w:r>
      <w:proofErr w:type="spellStart"/>
      <w:r>
        <w:rPr>
          <w:rFonts w:hint="eastAsia"/>
          <w:sz w:val="24"/>
        </w:rPr>
        <w:t>cnki</w:t>
      </w:r>
      <w:proofErr w:type="spellEnd"/>
      <w:r>
        <w:rPr>
          <w:rFonts w:hint="eastAsia"/>
          <w:sz w:val="24"/>
        </w:rPr>
        <w:t xml:space="preserve"> E-learning</w:t>
      </w:r>
      <w:r>
        <w:rPr>
          <w:rFonts w:hint="eastAsia"/>
          <w:sz w:val="24"/>
        </w:rPr>
        <w:t>格式、</w:t>
      </w:r>
      <w:proofErr w:type="spellStart"/>
      <w:r>
        <w:rPr>
          <w:rFonts w:hint="eastAsia"/>
          <w:sz w:val="24"/>
        </w:rPr>
        <w:t>Refworks</w:t>
      </w:r>
      <w:proofErr w:type="spellEnd"/>
      <w:r>
        <w:rPr>
          <w:rFonts w:hint="eastAsia"/>
          <w:sz w:val="24"/>
        </w:rPr>
        <w:t>格式等，并且可以选择导出的文档形式，方便读者使用。</w:t>
      </w:r>
    </w:p>
    <w:p w14:paraId="5534146B" w14:textId="77777777" w:rsidR="005D23E2" w:rsidRDefault="005D23E2" w:rsidP="005D23E2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计量可视化分析：对选定文献主题相关结果进行指数分析与总体趋势分析，利用可视化技术深度挖掘与展示数据内部关系。</w:t>
      </w:r>
    </w:p>
    <w:p w14:paraId="059E3466" w14:textId="77777777" w:rsidR="00755BEC" w:rsidRPr="005D23E2" w:rsidRDefault="00755BEC">
      <w:pPr>
        <w:spacing w:line="360" w:lineRule="auto"/>
        <w:ind w:firstLine="480"/>
        <w:rPr>
          <w:rFonts w:ascii="仿宋" w:eastAsia="仿宋"/>
          <w:sz w:val="24"/>
        </w:rPr>
      </w:pPr>
    </w:p>
    <w:sectPr w:rsidR="00755BEC" w:rsidRPr="005D23E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8826" w14:textId="77777777" w:rsidR="00910FED" w:rsidRDefault="00910FED">
      <w:r>
        <w:separator/>
      </w:r>
    </w:p>
  </w:endnote>
  <w:endnote w:type="continuationSeparator" w:id="0">
    <w:p w14:paraId="044C034D" w14:textId="77777777" w:rsidR="00910FED" w:rsidRDefault="0091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A14C" w14:textId="77777777" w:rsidR="00755BEC" w:rsidRDefault="002D3612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AEB53" wp14:editId="6052B4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BF66A" w14:textId="77777777" w:rsidR="00755BEC" w:rsidRDefault="002D3612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AEB5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FDBF66A" w14:textId="77777777" w:rsidR="00755BEC" w:rsidRDefault="002D3612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4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BEE5" w14:textId="77777777" w:rsidR="00910FED" w:rsidRDefault="00910FED">
      <w:r>
        <w:separator/>
      </w:r>
    </w:p>
  </w:footnote>
  <w:footnote w:type="continuationSeparator" w:id="0">
    <w:p w14:paraId="268EAA18" w14:textId="77777777" w:rsidR="00910FED" w:rsidRDefault="0091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3C8369"/>
    <w:multiLevelType w:val="singleLevel"/>
    <w:tmpl w:val="8D3C836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6986B0A"/>
    <w:multiLevelType w:val="singleLevel"/>
    <w:tmpl w:val="96986B0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17FD7B5"/>
    <w:multiLevelType w:val="singleLevel"/>
    <w:tmpl w:val="F17FD7B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F31921A7"/>
    <w:multiLevelType w:val="singleLevel"/>
    <w:tmpl w:val="F31921A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16E4A395"/>
    <w:multiLevelType w:val="singleLevel"/>
    <w:tmpl w:val="16E4A3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FC19EFD"/>
    <w:multiLevelType w:val="multilevel"/>
    <w:tmpl w:val="2FC19EF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6" w15:restartNumberingAfterBreak="0">
    <w:nsid w:val="5A844FB8"/>
    <w:multiLevelType w:val="singleLevel"/>
    <w:tmpl w:val="5A844FB8"/>
    <w:lvl w:ilvl="0">
      <w:start w:val="1"/>
      <w:numFmt w:val="chineseCounting"/>
      <w:pStyle w:val="a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71B0B146"/>
    <w:multiLevelType w:val="singleLevel"/>
    <w:tmpl w:val="71B0B14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 w15:restartNumberingAfterBreak="0">
    <w:nsid w:val="73810F5B"/>
    <w:multiLevelType w:val="singleLevel"/>
    <w:tmpl w:val="73810F5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38088616">
    <w:abstractNumId w:val="6"/>
  </w:num>
  <w:num w:numId="2" w16cid:durableId="753355706">
    <w:abstractNumId w:val="4"/>
  </w:num>
  <w:num w:numId="3" w16cid:durableId="1143501963">
    <w:abstractNumId w:val="1"/>
  </w:num>
  <w:num w:numId="4" w16cid:durableId="1514370266">
    <w:abstractNumId w:val="8"/>
  </w:num>
  <w:num w:numId="5" w16cid:durableId="1537890308">
    <w:abstractNumId w:val="2"/>
  </w:num>
  <w:num w:numId="6" w16cid:durableId="588654752">
    <w:abstractNumId w:val="7"/>
  </w:num>
  <w:num w:numId="7" w16cid:durableId="2072539635">
    <w:abstractNumId w:val="3"/>
  </w:num>
  <w:num w:numId="8" w16cid:durableId="1171527546">
    <w:abstractNumId w:val="5"/>
  </w:num>
  <w:num w:numId="9" w16cid:durableId="70506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QxZTc4M2QyODlmMDE3M2Y0M2NhMTJkMTRmZDIwNWQifQ=="/>
  </w:docVars>
  <w:rsids>
    <w:rsidRoot w:val="1DC7793B"/>
    <w:rsid w:val="00275795"/>
    <w:rsid w:val="002D3612"/>
    <w:rsid w:val="00495E03"/>
    <w:rsid w:val="004E6942"/>
    <w:rsid w:val="004F7B70"/>
    <w:rsid w:val="005D23E2"/>
    <w:rsid w:val="00697C03"/>
    <w:rsid w:val="00725CA3"/>
    <w:rsid w:val="00755BEC"/>
    <w:rsid w:val="00775859"/>
    <w:rsid w:val="007E0B9D"/>
    <w:rsid w:val="00910FED"/>
    <w:rsid w:val="00AD0DFB"/>
    <w:rsid w:val="00E8056A"/>
    <w:rsid w:val="00EE449D"/>
    <w:rsid w:val="0271721C"/>
    <w:rsid w:val="04BE504B"/>
    <w:rsid w:val="05201045"/>
    <w:rsid w:val="054C183E"/>
    <w:rsid w:val="069B5E85"/>
    <w:rsid w:val="07565116"/>
    <w:rsid w:val="0A3E54A5"/>
    <w:rsid w:val="0B0F2CB4"/>
    <w:rsid w:val="0CF5599F"/>
    <w:rsid w:val="0E4641EE"/>
    <w:rsid w:val="0E72396F"/>
    <w:rsid w:val="0EC76517"/>
    <w:rsid w:val="0ECC12D1"/>
    <w:rsid w:val="0F78188D"/>
    <w:rsid w:val="105059E3"/>
    <w:rsid w:val="11F03528"/>
    <w:rsid w:val="129D78DE"/>
    <w:rsid w:val="144A7EA3"/>
    <w:rsid w:val="16EE36AF"/>
    <w:rsid w:val="181810E3"/>
    <w:rsid w:val="1CBE44E3"/>
    <w:rsid w:val="1D60667E"/>
    <w:rsid w:val="1D94267C"/>
    <w:rsid w:val="1DC7793B"/>
    <w:rsid w:val="1DEC54EC"/>
    <w:rsid w:val="20091392"/>
    <w:rsid w:val="205216D3"/>
    <w:rsid w:val="225F0F27"/>
    <w:rsid w:val="22ED5A47"/>
    <w:rsid w:val="24780862"/>
    <w:rsid w:val="24C66628"/>
    <w:rsid w:val="251B021E"/>
    <w:rsid w:val="278A18D2"/>
    <w:rsid w:val="284550A0"/>
    <w:rsid w:val="29CE72BD"/>
    <w:rsid w:val="2AA81007"/>
    <w:rsid w:val="2C83779B"/>
    <w:rsid w:val="2D426ED6"/>
    <w:rsid w:val="2DAA28F9"/>
    <w:rsid w:val="2DCE09B6"/>
    <w:rsid w:val="2FCF221C"/>
    <w:rsid w:val="2FFB572C"/>
    <w:rsid w:val="30371D7B"/>
    <w:rsid w:val="314F2B97"/>
    <w:rsid w:val="31DC2C9A"/>
    <w:rsid w:val="3207424B"/>
    <w:rsid w:val="32075721"/>
    <w:rsid w:val="34AC732B"/>
    <w:rsid w:val="35AA25DF"/>
    <w:rsid w:val="35E2786A"/>
    <w:rsid w:val="3A6202AF"/>
    <w:rsid w:val="3AE65B09"/>
    <w:rsid w:val="3AF86E26"/>
    <w:rsid w:val="3BF56022"/>
    <w:rsid w:val="3D052D63"/>
    <w:rsid w:val="3E3C542F"/>
    <w:rsid w:val="41B45A71"/>
    <w:rsid w:val="4332568D"/>
    <w:rsid w:val="43F263DD"/>
    <w:rsid w:val="447943E7"/>
    <w:rsid w:val="449B602B"/>
    <w:rsid w:val="47A82838"/>
    <w:rsid w:val="492A0A47"/>
    <w:rsid w:val="49E074B8"/>
    <w:rsid w:val="49EC0F55"/>
    <w:rsid w:val="4AB55E01"/>
    <w:rsid w:val="4C717508"/>
    <w:rsid w:val="4E1A4EAE"/>
    <w:rsid w:val="51BA1374"/>
    <w:rsid w:val="528F03CF"/>
    <w:rsid w:val="53D8021B"/>
    <w:rsid w:val="542E3901"/>
    <w:rsid w:val="58652EE9"/>
    <w:rsid w:val="5935645A"/>
    <w:rsid w:val="59FE7432"/>
    <w:rsid w:val="5A7F1CD8"/>
    <w:rsid w:val="5E392465"/>
    <w:rsid w:val="608E59B3"/>
    <w:rsid w:val="611F093A"/>
    <w:rsid w:val="61677FB2"/>
    <w:rsid w:val="64B53E1C"/>
    <w:rsid w:val="64D13BAD"/>
    <w:rsid w:val="674566A0"/>
    <w:rsid w:val="67A67458"/>
    <w:rsid w:val="68646FFA"/>
    <w:rsid w:val="6895750F"/>
    <w:rsid w:val="692A0243"/>
    <w:rsid w:val="6B9022D7"/>
    <w:rsid w:val="6D4F43B4"/>
    <w:rsid w:val="6DBE340A"/>
    <w:rsid w:val="6DD06CF7"/>
    <w:rsid w:val="6E337B9A"/>
    <w:rsid w:val="706350D4"/>
    <w:rsid w:val="722A12B4"/>
    <w:rsid w:val="74EE65C9"/>
    <w:rsid w:val="761B163F"/>
    <w:rsid w:val="77F23CB4"/>
    <w:rsid w:val="7A423425"/>
    <w:rsid w:val="7AFB1A3F"/>
    <w:rsid w:val="7C02056B"/>
    <w:rsid w:val="7E37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2672D"/>
  <w15:docId w15:val="{D45A063C-DE74-44E7-8FCA-015E7394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0"/>
    <w:autoRedefine/>
    <w:qFormat/>
    <w:pPr>
      <w:keepNext/>
      <w:keepLines/>
      <w:spacing w:before="340" w:after="330" w:line="560" w:lineRule="exact"/>
      <w:outlineLvl w:val="0"/>
    </w:pPr>
    <w:rPr>
      <w:rFonts w:eastAsia="黑体"/>
      <w:kern w:val="44"/>
      <w:sz w:val="32"/>
    </w:rPr>
  </w:style>
  <w:style w:type="paragraph" w:styleId="2">
    <w:name w:val="heading 2"/>
    <w:basedOn w:val="a0"/>
    <w:next w:val="a0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_GB2312" w:hAnsi="Arial"/>
      <w:b/>
    </w:rPr>
  </w:style>
  <w:style w:type="paragraph" w:styleId="3">
    <w:name w:val="heading 3"/>
    <w:basedOn w:val="a0"/>
    <w:next w:val="a0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0"/>
    <w:next w:val="a0"/>
    <w:link w:val="40"/>
    <w:unhideWhenUsed/>
    <w:qFormat/>
    <w:rsid w:val="005D23E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0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0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autoRedefine/>
    <w:qFormat/>
    <w:rPr>
      <w:b/>
    </w:rPr>
  </w:style>
  <w:style w:type="character" w:customStyle="1" w:styleId="10">
    <w:name w:val="标题 1 字符"/>
    <w:link w:val="1"/>
    <w:autoRedefine/>
    <w:qFormat/>
    <w:rPr>
      <w:rFonts w:asciiTheme="minorHAnsi" w:eastAsia="黑体" w:hAnsiTheme="minorHAnsi"/>
      <w:kern w:val="44"/>
      <w:sz w:val="32"/>
    </w:rPr>
  </w:style>
  <w:style w:type="paragraph" w:customStyle="1" w:styleId="a">
    <w:name w:val="样式二"/>
    <w:basedOn w:val="a0"/>
    <w:autoRedefine/>
    <w:qFormat/>
    <w:pPr>
      <w:numPr>
        <w:numId w:val="1"/>
      </w:numPr>
      <w:spacing w:line="360" w:lineRule="auto"/>
      <w:outlineLvl w:val="1"/>
    </w:pPr>
    <w:rPr>
      <w:rFonts w:ascii="宋体" w:eastAsia="宋体" w:hAnsi="宋体" w:cs="宋体" w:hint="eastAsia"/>
      <w:color w:val="333333"/>
      <w:sz w:val="24"/>
      <w:szCs w:val="24"/>
    </w:rPr>
  </w:style>
  <w:style w:type="paragraph" w:styleId="a9">
    <w:name w:val="List Paragraph"/>
    <w:basedOn w:val="a0"/>
    <w:uiPriority w:val="34"/>
    <w:qFormat/>
    <w:pPr>
      <w:ind w:firstLineChars="200" w:firstLine="420"/>
    </w:pPr>
  </w:style>
  <w:style w:type="paragraph" w:styleId="aa">
    <w:name w:val="caption"/>
    <w:basedOn w:val="a0"/>
    <w:next w:val="a0"/>
    <w:qFormat/>
    <w:rsid w:val="00EE449D"/>
    <w:rPr>
      <w:rFonts w:ascii="Arial" w:eastAsia="黑体" w:hAnsi="Arial" w:cs="Arial"/>
      <w:sz w:val="20"/>
      <w:szCs w:val="20"/>
    </w:rPr>
  </w:style>
  <w:style w:type="paragraph" w:styleId="ab">
    <w:name w:val="Body Text"/>
    <w:basedOn w:val="a0"/>
    <w:link w:val="ac"/>
    <w:qFormat/>
    <w:rsid w:val="00EE449D"/>
    <w:rPr>
      <w:szCs w:val="24"/>
    </w:rPr>
  </w:style>
  <w:style w:type="character" w:customStyle="1" w:styleId="ac">
    <w:name w:val="正文文本 字符"/>
    <w:basedOn w:val="a1"/>
    <w:link w:val="ab"/>
    <w:rsid w:val="00EE449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40">
    <w:name w:val="标题 4 字符"/>
    <w:basedOn w:val="a1"/>
    <w:link w:val="4"/>
    <w:rsid w:val="005D23E2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D7E117-8956-44B8-B964-7D23B1A0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1270</Characters>
  <Application>Microsoft Office Word</Application>
  <DocSecurity>0</DocSecurity>
  <Lines>57</Lines>
  <Paragraphs>60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袁萌萌</dc:creator>
  <cp:lastModifiedBy>HP</cp:lastModifiedBy>
  <cp:revision>2</cp:revision>
  <dcterms:created xsi:type="dcterms:W3CDTF">2025-04-17T01:47:00Z</dcterms:created>
  <dcterms:modified xsi:type="dcterms:W3CDTF">2025-04-17T01:47:00Z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D19E18FD68204DE2B6978C0662AD7E61_13</vt:lpwstr>
  </property>
  <property fmtid="{D5CDD505-2E9C-101B-9397-08002B2CF9AE}" pid="4" name="KSOTemplateDocerSaveRecord">
    <vt:lpwstr>eyJoZGlkIjoiODMwYjNmMmU0MTVkNjRhNTJjMzQ0MzE2YmRiYTI1ZmQifQ==</vt:lpwstr>
  </property>
</Properties>
</file>