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3F1C9">
      <w:pPr>
        <w:autoSpaceDE w:val="0"/>
        <w:autoSpaceDN w:val="0"/>
        <w:adjustRightInd w:val="0"/>
        <w:spacing w:line="440" w:lineRule="exact"/>
        <w:jc w:val="center"/>
        <w:rPr>
          <w:rFonts w:hint="eastAsia" w:cs="F4,Bold" w:asciiTheme="minorEastAsia" w:hAnsiTheme="minorEastAsia" w:eastAsiaTheme="minorEastAsia"/>
          <w:b/>
          <w:bCs/>
          <w:color w:val="000000"/>
          <w:kern w:val="0"/>
          <w:sz w:val="32"/>
        </w:rPr>
      </w:pPr>
      <w:r>
        <w:rPr>
          <w:rFonts w:hint="eastAsia" w:cs="F4,Bold" w:asciiTheme="minorEastAsia" w:hAnsiTheme="minorEastAsia" w:eastAsiaTheme="minorEastAsia"/>
          <w:b/>
          <w:bCs/>
          <w:color w:val="000000"/>
          <w:kern w:val="0"/>
          <w:sz w:val="32"/>
        </w:rPr>
        <w:t>临床研究协议</w:t>
      </w:r>
    </w:p>
    <w:p w14:paraId="432F747A">
      <w:pPr>
        <w:autoSpaceDE w:val="0"/>
        <w:autoSpaceDN w:val="0"/>
        <w:adjustRightInd w:val="0"/>
        <w:spacing w:line="440" w:lineRule="exact"/>
        <w:jc w:val="center"/>
        <w:rPr>
          <w:rFonts w:hint="eastAsia" w:cs="F4,Bold" w:asciiTheme="minorEastAsia" w:hAnsiTheme="minorEastAsia" w:eastAsiaTheme="minorEastAsia"/>
          <w:b/>
          <w:bCs/>
          <w:color w:val="000000"/>
          <w:kern w:val="0"/>
          <w:sz w:val="24"/>
        </w:rPr>
      </w:pPr>
    </w:p>
    <w:p w14:paraId="0E94389A">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cs="F1" w:asciiTheme="minorEastAsia" w:hAnsiTheme="minorEastAsia" w:eastAsiaTheme="minorEastAsia"/>
          <w:color w:val="000000"/>
          <w:kern w:val="0"/>
          <w:sz w:val="24"/>
        </w:rPr>
        <w:t>本协议由以下各方签订</w:t>
      </w:r>
      <w:r>
        <w:rPr>
          <w:rFonts w:hint="eastAsia" w:cs="F1" w:asciiTheme="minorEastAsia" w:hAnsiTheme="minorEastAsia" w:eastAsiaTheme="minorEastAsia"/>
          <w:color w:val="000000"/>
          <w:kern w:val="0"/>
          <w:sz w:val="24"/>
        </w:rPr>
        <w:t>：</w:t>
      </w:r>
    </w:p>
    <w:p w14:paraId="674C1BF9">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6DDA09DA">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甲方：XXX公司（下称“</w:t>
      </w:r>
      <w:r>
        <w:rPr>
          <w:rFonts w:hint="eastAsia" w:cs="F1" w:asciiTheme="minorEastAsia" w:hAnsiTheme="minorEastAsia" w:eastAsiaTheme="minorEastAsia"/>
          <w:b/>
          <w:kern w:val="0"/>
          <w:sz w:val="24"/>
        </w:rPr>
        <w:t>申办者</w:t>
      </w:r>
      <w:r>
        <w:rPr>
          <w:rFonts w:hint="eastAsia" w:cs="F1" w:asciiTheme="minorEastAsia" w:hAnsiTheme="minorEastAsia" w:eastAsiaTheme="minorEastAsia"/>
          <w:color w:val="000000"/>
          <w:kern w:val="0"/>
          <w:sz w:val="24"/>
        </w:rPr>
        <w:t>”）</w:t>
      </w:r>
    </w:p>
    <w:p w14:paraId="60B8EDB3">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 xml:space="preserve">      地址：</w:t>
      </w:r>
    </w:p>
    <w:p w14:paraId="3183CF75">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 xml:space="preserve">      邮编：</w:t>
      </w:r>
    </w:p>
    <w:p w14:paraId="28BA96C5">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1936C030">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和</w:t>
      </w:r>
    </w:p>
    <w:p w14:paraId="6477A2E3">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5CB0DA2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乙方：中国医学科学院血液病医院（中国医学科学院血液学研究所）（下简称“</w:t>
      </w:r>
      <w:r>
        <w:rPr>
          <w:rFonts w:hint="eastAsia" w:cs="F1" w:asciiTheme="minorEastAsia" w:hAnsiTheme="minorEastAsia" w:eastAsiaTheme="minorEastAsia"/>
          <w:b/>
          <w:kern w:val="0"/>
          <w:sz w:val="24"/>
        </w:rPr>
        <w:t>研究机构</w:t>
      </w:r>
      <w:r>
        <w:rPr>
          <w:rFonts w:hint="eastAsia" w:cs="F1" w:asciiTheme="minorEastAsia" w:hAnsiTheme="minorEastAsia" w:eastAsiaTheme="minorEastAsia"/>
          <w:color w:val="000000"/>
          <w:kern w:val="0"/>
          <w:sz w:val="24"/>
        </w:rPr>
        <w:t>”）</w:t>
      </w:r>
    </w:p>
    <w:p w14:paraId="07AE9F8E">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 xml:space="preserve"> </w:t>
      </w:r>
      <w:r>
        <w:rPr>
          <w:rFonts w:cs="F1" w:asciiTheme="minorEastAsia" w:hAnsiTheme="minorEastAsia" w:eastAsiaTheme="minorEastAsia"/>
          <w:color w:val="000000"/>
          <w:kern w:val="0"/>
          <w:sz w:val="24"/>
        </w:rPr>
        <w:t xml:space="preserve">     </w:t>
      </w:r>
      <w:r>
        <w:rPr>
          <w:rFonts w:hint="eastAsia" w:cs="F1" w:asciiTheme="minorEastAsia" w:hAnsiTheme="minorEastAsia" w:eastAsiaTheme="minorEastAsia"/>
          <w:color w:val="000000"/>
          <w:kern w:val="0"/>
          <w:sz w:val="24"/>
        </w:rPr>
        <w:t>地址：天津市和平区南京路 288号，300020；天津市静海区团泊大道28号，301617</w:t>
      </w:r>
    </w:p>
    <w:p w14:paraId="3810D69D">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070A139C">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本协议于最后签字盖章日生效。</w:t>
      </w:r>
    </w:p>
    <w:p w14:paraId="289EF408">
      <w:pPr>
        <w:autoSpaceDE w:val="0"/>
        <w:autoSpaceDN w:val="0"/>
        <w:adjustRightInd w:val="0"/>
        <w:spacing w:line="440" w:lineRule="exact"/>
        <w:jc w:val="left"/>
        <w:rPr>
          <w:rFonts w:hint="eastAsia" w:cs="TimesNewRomanPSMT" w:asciiTheme="minorEastAsia" w:hAnsiTheme="minorEastAsia" w:eastAsiaTheme="minorEastAsia"/>
          <w:color w:val="000000"/>
          <w:kern w:val="0"/>
          <w:sz w:val="24"/>
        </w:rPr>
      </w:pPr>
    </w:p>
    <w:p w14:paraId="75049EC2">
      <w:pPr>
        <w:autoSpaceDE w:val="0"/>
        <w:autoSpaceDN w:val="0"/>
        <w:adjustRightInd w:val="0"/>
        <w:spacing w:line="440" w:lineRule="exact"/>
        <w:jc w:val="left"/>
        <w:rPr>
          <w:rFonts w:hint="eastAsia" w:cs="F4,Bold" w:asciiTheme="minorEastAsia" w:hAnsiTheme="minorEastAsia" w:eastAsiaTheme="minorEastAsia"/>
          <w:b/>
          <w:bCs/>
          <w:color w:val="000000"/>
          <w:kern w:val="0"/>
          <w:sz w:val="24"/>
        </w:rPr>
      </w:pPr>
      <w:r>
        <w:rPr>
          <w:rFonts w:hint="eastAsia" w:cs="F4,Bold" w:asciiTheme="minorEastAsia" w:hAnsiTheme="minorEastAsia" w:eastAsiaTheme="minorEastAsia"/>
          <w:b/>
          <w:bCs/>
          <w:color w:val="000000"/>
          <w:kern w:val="0"/>
          <w:sz w:val="24"/>
        </w:rPr>
        <w:t>背景</w:t>
      </w:r>
    </w:p>
    <w:p w14:paraId="4D4B8019">
      <w:pPr>
        <w:autoSpaceDE w:val="0"/>
        <w:autoSpaceDN w:val="0"/>
        <w:adjustRightInd w:val="0"/>
        <w:spacing w:line="440" w:lineRule="exact"/>
        <w:ind w:firstLine="480" w:firstLineChars="200"/>
        <w:jc w:val="left"/>
        <w:rPr>
          <w:rFonts w:hint="eastAsia" w:cs="F4,Bold" w:asciiTheme="minorEastAsia" w:hAnsiTheme="minorEastAsia" w:eastAsiaTheme="minorEastAsia"/>
          <w:bCs/>
          <w:color w:val="000000"/>
          <w:kern w:val="0"/>
          <w:sz w:val="24"/>
        </w:rPr>
      </w:pPr>
      <w:r>
        <w:rPr>
          <w:rFonts w:hint="eastAsia" w:cs="F4,Bold" w:asciiTheme="minorEastAsia" w:hAnsiTheme="minorEastAsia" w:eastAsiaTheme="minorEastAsia"/>
          <w:bCs/>
          <w:color w:val="000000"/>
          <w:kern w:val="0"/>
          <w:sz w:val="24"/>
        </w:rPr>
        <w:t>申办者计划根据名为【键入方案名称（</w:t>
      </w:r>
      <w:r>
        <w:rPr>
          <w:rFonts w:hint="eastAsia" w:cs="F4,Bold" w:asciiTheme="minorEastAsia" w:hAnsiTheme="minorEastAsia" w:eastAsiaTheme="minorEastAsia"/>
          <w:b/>
          <w:bCs/>
          <w:kern w:val="0"/>
          <w:sz w:val="24"/>
        </w:rPr>
        <w:t>方案编号</w:t>
      </w:r>
      <w:r>
        <w:rPr>
          <w:rFonts w:hint="eastAsia" w:cs="F4,Bold" w:asciiTheme="minorEastAsia" w:hAnsiTheme="minorEastAsia" w:eastAsiaTheme="minorEastAsia"/>
          <w:bCs/>
          <w:color w:val="000000"/>
          <w:kern w:val="0"/>
          <w:sz w:val="24"/>
        </w:rPr>
        <w:t>： ）】方案以及其修订（以下合称“研究方案”）进行一项临床试验（下称“</w:t>
      </w:r>
      <w:r>
        <w:rPr>
          <w:rFonts w:hint="eastAsia" w:cs="F4,Bold" w:asciiTheme="minorEastAsia" w:hAnsiTheme="minorEastAsia" w:eastAsiaTheme="minorEastAsia"/>
          <w:b/>
          <w:bCs/>
          <w:kern w:val="0"/>
          <w:sz w:val="24"/>
        </w:rPr>
        <w:t>研究</w:t>
      </w:r>
      <w:r>
        <w:rPr>
          <w:rFonts w:hint="eastAsia" w:cs="F4,Bold" w:asciiTheme="minorEastAsia" w:hAnsiTheme="minorEastAsia" w:eastAsiaTheme="minorEastAsia"/>
          <w:bCs/>
          <w:color w:val="000000"/>
          <w:kern w:val="0"/>
          <w:sz w:val="24"/>
        </w:rPr>
        <w:t>”），</w:t>
      </w:r>
      <w:r>
        <w:rPr>
          <w:rFonts w:hint="eastAsia" w:cs="F1" w:asciiTheme="minorEastAsia" w:hAnsiTheme="minorEastAsia" w:eastAsiaTheme="minorEastAsia"/>
          <w:color w:val="000000"/>
          <w:kern w:val="0"/>
          <w:sz w:val="24"/>
        </w:rPr>
        <w:t>申办者委托研究机构由</w:t>
      </w:r>
      <w:r>
        <w:rPr>
          <w:rFonts w:hint="eastAsia" w:cs="F1" w:asciiTheme="minorEastAsia" w:hAnsiTheme="minorEastAsia" w:eastAsiaTheme="minorEastAsia"/>
          <w:b/>
          <w:color w:val="000000"/>
          <w:kern w:val="0"/>
          <w:sz w:val="24"/>
          <w:u w:val="single"/>
        </w:rPr>
        <w:t>XXXXXX</w:t>
      </w:r>
      <w:r>
        <w:rPr>
          <w:rFonts w:hint="eastAsia" w:cs="F1" w:asciiTheme="minorEastAsia" w:hAnsiTheme="minorEastAsia" w:eastAsiaTheme="minorEastAsia"/>
          <w:color w:val="000000"/>
          <w:kern w:val="0"/>
          <w:sz w:val="24"/>
        </w:rPr>
        <w:t xml:space="preserve"> 作为本中心主要研究者开展本临床研究；同时，经申办者实地访查确认研究机构具备进行本试验所需要的各项必备条件。研究机构及主要研究者一致同意按照下文中的条件及伦理委员会批准的研究方案来开展研究工作。</w:t>
      </w:r>
    </w:p>
    <w:p w14:paraId="0BCC5A9C">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647E103A">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因此，根据本协议表述的前提、双方承诺和契约，双方同意以下</w:t>
      </w:r>
      <w:bookmarkStart w:id="0" w:name="_GoBack"/>
      <w:bookmarkEnd w:id="0"/>
      <w:r>
        <w:rPr>
          <w:rFonts w:hint="eastAsia" w:cs="F1" w:asciiTheme="minorEastAsia" w:hAnsiTheme="minorEastAsia" w:eastAsiaTheme="minorEastAsia"/>
          <w:color w:val="000000"/>
          <w:kern w:val="0"/>
          <w:sz w:val="24"/>
        </w:rPr>
        <w:t>各项条款：</w:t>
      </w:r>
    </w:p>
    <w:p w14:paraId="53417668">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11685EDB">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1.</w:t>
      </w:r>
      <w:r>
        <w:rPr>
          <w:rFonts w:hint="eastAsia" w:cs="F4,Bold" w:asciiTheme="minorEastAsia" w:hAnsiTheme="minorEastAsia" w:eastAsiaTheme="minorEastAsia"/>
          <w:b/>
          <w:bCs/>
          <w:color w:val="000000"/>
          <w:kern w:val="0"/>
          <w:sz w:val="24"/>
          <w:u w:val="single"/>
        </w:rPr>
        <w:t>临床研究实施的要求</w:t>
      </w:r>
    </w:p>
    <w:p w14:paraId="6C0BC0B0">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1.1</w:t>
      </w:r>
      <w:r>
        <w:rPr>
          <w:rFonts w:hint="eastAsia" w:cs="ArialMT" w:asciiTheme="minorEastAsia" w:hAnsiTheme="minorEastAsia" w:eastAsiaTheme="minorEastAsia"/>
          <w:color w:val="000000"/>
          <w:kern w:val="0"/>
          <w:sz w:val="24"/>
        </w:rPr>
        <w:t xml:space="preserve"> 申办者</w:t>
      </w:r>
      <w:r>
        <w:rPr>
          <w:rFonts w:hint="eastAsia" w:cs="F1" w:asciiTheme="minorEastAsia" w:hAnsiTheme="minorEastAsia" w:eastAsiaTheme="minorEastAsia"/>
          <w:color w:val="000000"/>
          <w:kern w:val="0"/>
          <w:sz w:val="24"/>
        </w:rPr>
        <w:t>、研究机构及主要研究者一致同意严格按照临床研究方案和本协议中的条款和条件完成临床研究；</w:t>
      </w:r>
    </w:p>
    <w:p w14:paraId="19EC0492">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1.2</w:t>
      </w:r>
      <w:r>
        <w:rPr>
          <w:rFonts w:hint="eastAsia" w:cs="ArialMT" w:asciiTheme="minorEastAsia" w:hAnsiTheme="minorEastAsia" w:eastAsiaTheme="minorEastAsia"/>
          <w:color w:val="000000"/>
          <w:kern w:val="0"/>
          <w:sz w:val="24"/>
        </w:rPr>
        <w:t xml:space="preserve"> </w:t>
      </w:r>
      <w:r>
        <w:rPr>
          <w:rFonts w:hint="eastAsia" w:cs="F1" w:asciiTheme="minorEastAsia" w:hAnsiTheme="minorEastAsia" w:eastAsiaTheme="minorEastAsia"/>
          <w:color w:val="000000"/>
          <w:kern w:val="0"/>
          <w:sz w:val="24"/>
        </w:rPr>
        <w:t>申办者应当遵守并根据《药物临床试验质量管理规范》充分履行其法定职责。并根据GCP要求认可研究机构、研究者资格及研究条件；</w:t>
      </w:r>
    </w:p>
    <w:p w14:paraId="0E78066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1.3</w:t>
      </w:r>
      <w:r>
        <w:rPr>
          <w:rFonts w:hint="eastAsia" w:cs="F1" w:asciiTheme="minorEastAsia" w:hAnsiTheme="minorEastAsia" w:eastAsiaTheme="minorEastAsia"/>
          <w:color w:val="000000"/>
          <w:kern w:val="0"/>
          <w:sz w:val="24"/>
        </w:rPr>
        <w:t xml:space="preserve"> 申办者委托的监查员应当遵守并根据《药物临床试验质量管理规范》充分履行其法定职责；</w:t>
      </w:r>
    </w:p>
    <w:p w14:paraId="2D9B053F">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1.4</w:t>
      </w:r>
      <w:r>
        <w:rPr>
          <w:rFonts w:hint="eastAsia" w:cs="F1" w:asciiTheme="minorEastAsia" w:hAnsiTheme="minorEastAsia" w:eastAsiaTheme="minorEastAsia"/>
          <w:color w:val="000000"/>
          <w:kern w:val="0"/>
          <w:sz w:val="24"/>
        </w:rPr>
        <w:t xml:space="preserve"> 主要研究者应当遵守并根据《药物临床试验质量管理规范》充分履行其法定职责；</w:t>
      </w:r>
    </w:p>
    <w:p w14:paraId="2F251B94">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1.5</w:t>
      </w:r>
      <w:r>
        <w:rPr>
          <w:rFonts w:hint="eastAsia" w:cs="F1" w:asciiTheme="minorEastAsia" w:hAnsiTheme="minorEastAsia" w:eastAsiaTheme="minorEastAsia"/>
          <w:color w:val="000000"/>
          <w:kern w:val="0"/>
          <w:sz w:val="24"/>
        </w:rPr>
        <w:t xml:space="preserve"> 甲乙双方临床试验项目参与人员，如主要研究者、研究者、监查员等应当完全熟悉和了解临床研究方案的内容并严格按照临床研究方案、根据《药物临床试验质量管理规范》进行临床研究；</w:t>
      </w:r>
    </w:p>
    <w:p w14:paraId="3D9FC080">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1.6</w:t>
      </w:r>
      <w:r>
        <w:rPr>
          <w:rFonts w:hint="eastAsia" w:cs="F1" w:asciiTheme="minorEastAsia" w:hAnsiTheme="minorEastAsia" w:eastAsiaTheme="minorEastAsia"/>
          <w:color w:val="000000"/>
          <w:kern w:val="0"/>
          <w:sz w:val="24"/>
        </w:rPr>
        <w:t xml:space="preserve"> 如果主要研究者从研究机构离职，研究机构应及时通知申办者。申办者有权审核研究机构新指派的主要研究者。如果更换的主要研究者不能满足申办者要求，申办者有权终止本协议；</w:t>
      </w:r>
    </w:p>
    <w:p w14:paraId="34A8D022">
      <w:pPr>
        <w:autoSpaceDE w:val="0"/>
        <w:autoSpaceDN w:val="0"/>
        <w:adjustRightInd w:val="0"/>
        <w:spacing w:line="440" w:lineRule="exact"/>
        <w:jc w:val="left"/>
        <w:rPr>
          <w:rFonts w:hint="eastAsia" w:cs="F1" w:asciiTheme="minorEastAsia" w:hAnsiTheme="minorEastAsia" w:eastAsiaTheme="minorEastAsia"/>
          <w:kern w:val="0"/>
          <w:sz w:val="24"/>
        </w:rPr>
      </w:pPr>
      <w:r>
        <w:rPr>
          <w:rFonts w:hint="eastAsia" w:cs="F1" w:asciiTheme="minorEastAsia" w:hAnsiTheme="minorEastAsia" w:eastAsiaTheme="minorEastAsia"/>
          <w:b/>
          <w:kern w:val="0"/>
          <w:sz w:val="24"/>
        </w:rPr>
        <w:t xml:space="preserve">1.7 </w:t>
      </w:r>
      <w:r>
        <w:rPr>
          <w:rFonts w:hint="eastAsia" w:cs="F1" w:asciiTheme="minorEastAsia" w:hAnsiTheme="minorEastAsia" w:eastAsiaTheme="minorEastAsia"/>
          <w:kern w:val="0"/>
          <w:sz w:val="24"/>
        </w:rPr>
        <w:t>研究机构主要研究者授权</w:t>
      </w:r>
      <w:r>
        <w:rPr>
          <w:rFonts w:cs="F1" w:asciiTheme="minorEastAsia" w:hAnsiTheme="minorEastAsia" w:eastAsiaTheme="minorEastAsia"/>
          <w:kern w:val="0"/>
          <w:sz w:val="24"/>
        </w:rPr>
        <w:t>一名固定的研究助理，</w:t>
      </w:r>
      <w:r>
        <w:rPr>
          <w:rFonts w:hint="eastAsia" w:cs="F1" w:asciiTheme="minorEastAsia" w:hAnsiTheme="minorEastAsia" w:eastAsiaTheme="minorEastAsia"/>
          <w:kern w:val="0"/>
          <w:sz w:val="24"/>
        </w:rPr>
        <w:t>负责研究过程中试验文件的管理、经费与</w:t>
      </w:r>
      <w:r>
        <w:rPr>
          <w:rFonts w:hint="eastAsia" w:cs="F1" w:asciiTheme="minorEastAsia" w:hAnsiTheme="minorEastAsia" w:eastAsiaTheme="minorEastAsia"/>
          <w:color w:val="000000"/>
          <w:kern w:val="0"/>
          <w:sz w:val="24"/>
        </w:rPr>
        <w:t>合同管理、</w:t>
      </w:r>
      <w:r>
        <w:rPr>
          <w:rFonts w:cs="F1" w:asciiTheme="minorEastAsia" w:hAnsiTheme="minorEastAsia" w:eastAsiaTheme="minorEastAsia"/>
          <w:color w:val="000000"/>
          <w:kern w:val="0"/>
          <w:sz w:val="24"/>
        </w:rPr>
        <w:t>试验期间病例报告表填写、</w:t>
      </w:r>
      <w:r>
        <w:rPr>
          <w:rFonts w:hint="eastAsia" w:cs="F1" w:asciiTheme="minorEastAsia" w:hAnsiTheme="minorEastAsia" w:eastAsiaTheme="minorEastAsia"/>
          <w:color w:val="000000"/>
          <w:kern w:val="0"/>
          <w:sz w:val="24"/>
        </w:rPr>
        <w:t>整理</w:t>
      </w:r>
      <w:r>
        <w:rPr>
          <w:rFonts w:cs="F1" w:asciiTheme="minorEastAsia" w:hAnsiTheme="minorEastAsia" w:eastAsiaTheme="minorEastAsia"/>
          <w:color w:val="000000"/>
          <w:kern w:val="0"/>
          <w:sz w:val="24"/>
        </w:rPr>
        <w:t>检查报告、协助主要研究者与机构</w:t>
      </w:r>
      <w:r>
        <w:rPr>
          <w:rFonts w:hint="eastAsia" w:cs="F1" w:asciiTheme="minorEastAsia" w:hAnsiTheme="minorEastAsia" w:eastAsiaTheme="minorEastAsia"/>
          <w:color w:val="000000"/>
          <w:kern w:val="0"/>
          <w:sz w:val="24"/>
        </w:rPr>
        <w:t>办公室</w:t>
      </w:r>
      <w:r>
        <w:rPr>
          <w:rFonts w:cs="F1" w:asciiTheme="minorEastAsia" w:hAnsiTheme="minorEastAsia" w:eastAsiaTheme="minorEastAsia"/>
          <w:color w:val="000000"/>
          <w:kern w:val="0"/>
          <w:sz w:val="24"/>
        </w:rPr>
        <w:t>、伦理</w:t>
      </w:r>
      <w:r>
        <w:rPr>
          <w:rFonts w:hint="eastAsia" w:cs="F1" w:asciiTheme="minorEastAsia" w:hAnsiTheme="minorEastAsia" w:eastAsiaTheme="minorEastAsia"/>
          <w:color w:val="000000"/>
          <w:kern w:val="0"/>
          <w:sz w:val="24"/>
        </w:rPr>
        <w:t>委员会、</w:t>
      </w:r>
      <w:r>
        <w:rPr>
          <w:rFonts w:cs="F1" w:asciiTheme="minorEastAsia" w:hAnsiTheme="minorEastAsia" w:eastAsiaTheme="minorEastAsia"/>
          <w:color w:val="000000"/>
          <w:kern w:val="0"/>
          <w:sz w:val="24"/>
        </w:rPr>
        <w:t>沟通</w:t>
      </w:r>
      <w:r>
        <w:rPr>
          <w:rFonts w:hint="eastAsia" w:cs="F1" w:asciiTheme="minorEastAsia" w:hAnsiTheme="minorEastAsia" w:eastAsiaTheme="minorEastAsia"/>
          <w:color w:val="000000"/>
          <w:kern w:val="0"/>
          <w:sz w:val="24"/>
        </w:rPr>
        <w:t>、归档等</w:t>
      </w:r>
      <w:r>
        <w:rPr>
          <w:rFonts w:cs="F1" w:asciiTheme="minorEastAsia" w:hAnsiTheme="minorEastAsia" w:eastAsiaTheme="minorEastAsia"/>
          <w:color w:val="000000"/>
          <w:kern w:val="0"/>
          <w:sz w:val="24"/>
        </w:rPr>
        <w:t>工作</w:t>
      </w:r>
      <w:r>
        <w:rPr>
          <w:rFonts w:hint="eastAsia" w:cs="F1" w:asciiTheme="minorEastAsia" w:hAnsiTheme="minorEastAsia" w:eastAsiaTheme="minorEastAsia"/>
          <w:color w:val="000000"/>
          <w:kern w:val="0"/>
          <w:sz w:val="24"/>
        </w:rPr>
        <w:t>，根据要求填报GCP监管信息系统；</w:t>
      </w:r>
      <w:r>
        <w:rPr>
          <w:rFonts w:hint="eastAsia" w:cs="F1" w:asciiTheme="minorEastAsia" w:hAnsiTheme="minorEastAsia" w:eastAsiaTheme="minorEastAsia"/>
          <w:kern w:val="0"/>
          <w:sz w:val="24"/>
        </w:rPr>
        <w:t>主要研究者应亲自监督临床研究的进行，未经申办者事先书面同意，不得将此职责授权予其他人；</w:t>
      </w:r>
    </w:p>
    <w:p w14:paraId="4B4575D4">
      <w:pPr>
        <w:autoSpaceDE w:val="0"/>
        <w:autoSpaceDN w:val="0"/>
        <w:adjustRightInd w:val="0"/>
        <w:spacing w:line="440" w:lineRule="exact"/>
        <w:jc w:val="left"/>
        <w:rPr>
          <w:sz w:val="24"/>
          <w:shd w:val="clear" w:color="auto" w:fill="FFFFFF"/>
        </w:rPr>
      </w:pPr>
      <w:r>
        <w:rPr>
          <w:rFonts w:hint="eastAsia"/>
          <w:b/>
          <w:sz w:val="24"/>
          <w:shd w:val="clear" w:color="auto" w:fill="FFFFFF"/>
        </w:rPr>
        <w:t>1.8</w:t>
      </w:r>
      <w:r>
        <w:rPr>
          <w:rFonts w:hint="eastAsia"/>
          <w:sz w:val="24"/>
          <w:shd w:val="clear" w:color="auto" w:fill="FFFFFF"/>
        </w:rPr>
        <w:t xml:space="preserve"> 申办者应委派合格的监查员应按照GCP要求全面监查临床试验，并适时稽查临床研究工作，申办者应及时向研究机构及主要研究者提供所有的监查报告和稽查报告，报告中应体现监查员监查稽查过程中发现的问题；</w:t>
      </w:r>
    </w:p>
    <w:p w14:paraId="42C618D0">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1.9</w:t>
      </w:r>
      <w:r>
        <w:rPr>
          <w:rFonts w:hint="eastAsia" w:cs="F1" w:asciiTheme="minorEastAsia" w:hAnsiTheme="minorEastAsia" w:eastAsiaTheme="minorEastAsia"/>
          <w:color w:val="000000"/>
          <w:kern w:val="0"/>
          <w:sz w:val="24"/>
        </w:rPr>
        <w:t xml:space="preserve"> 除按照临床研究方案进行临床研究外，研究机构及主要研究者不得将申办者提供的研究药物用于任何其他用途；</w:t>
      </w:r>
    </w:p>
    <w:p w14:paraId="44B2B263">
      <w:pPr>
        <w:autoSpaceDE w:val="0"/>
        <w:autoSpaceDN w:val="0"/>
        <w:adjustRightInd w:val="0"/>
        <w:spacing w:line="440" w:lineRule="exact"/>
        <w:jc w:val="left"/>
        <w:rPr>
          <w:rFonts w:hint="eastAsia" w:cs="F1" w:asciiTheme="minorEastAsia" w:hAnsiTheme="minorEastAsia" w:eastAsiaTheme="minorEastAsia"/>
          <w:kern w:val="0"/>
          <w:sz w:val="24"/>
        </w:rPr>
      </w:pPr>
      <w:r>
        <w:rPr>
          <w:rFonts w:hint="eastAsia" w:cs="F1" w:asciiTheme="minorEastAsia" w:hAnsiTheme="minorEastAsia" w:eastAsiaTheme="minorEastAsia"/>
          <w:b/>
          <w:kern w:val="0"/>
          <w:sz w:val="24"/>
        </w:rPr>
        <w:t xml:space="preserve">1.10 </w:t>
      </w:r>
      <w:r>
        <w:rPr>
          <w:rFonts w:hint="eastAsia" w:cs="F1" w:asciiTheme="minorEastAsia" w:hAnsiTheme="minorEastAsia" w:eastAsiaTheme="minorEastAsia"/>
          <w:kern w:val="0"/>
          <w:sz w:val="24"/>
        </w:rPr>
        <w:t>外资企业、合资企业申办者发起的项目或由外资参CRO、实验室参与的临床试验研究项目，申办者负责委托牵头单位办理人类遗传资源材料出口、出境申请、审批等事项，并向研究机构提供批准文件；</w:t>
      </w:r>
    </w:p>
    <w:p w14:paraId="16725D1B">
      <w:pPr>
        <w:autoSpaceDE w:val="0"/>
        <w:autoSpaceDN w:val="0"/>
        <w:adjustRightInd w:val="0"/>
        <w:spacing w:line="440" w:lineRule="exact"/>
        <w:jc w:val="left"/>
        <w:rPr>
          <w:rFonts w:hint="eastAsia" w:cs="F4,Bold" w:asciiTheme="minorEastAsia" w:hAnsiTheme="minorEastAsia" w:eastAsiaTheme="minorEastAsia"/>
          <w:b/>
          <w:bCs/>
          <w:color w:val="000000"/>
          <w:kern w:val="0"/>
          <w:sz w:val="24"/>
        </w:rPr>
      </w:pPr>
    </w:p>
    <w:p w14:paraId="3C6A7FD1">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 xml:space="preserve">2. </w:t>
      </w:r>
      <w:r>
        <w:rPr>
          <w:rFonts w:hint="eastAsia" w:cs="F4,Bold" w:asciiTheme="minorEastAsia" w:hAnsiTheme="minorEastAsia" w:eastAsiaTheme="minorEastAsia"/>
          <w:b/>
          <w:bCs/>
          <w:color w:val="000000"/>
          <w:kern w:val="0"/>
          <w:sz w:val="24"/>
          <w:u w:val="single"/>
        </w:rPr>
        <w:t>协议有效期限和终止</w:t>
      </w:r>
    </w:p>
    <w:p w14:paraId="5CB658CE">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2.1</w:t>
      </w:r>
      <w:r>
        <w:rPr>
          <w:rFonts w:hint="eastAsia" w:cs="F1" w:asciiTheme="minorEastAsia" w:hAnsiTheme="minorEastAsia" w:eastAsiaTheme="minorEastAsia"/>
          <w:color w:val="000000"/>
          <w:kern w:val="0"/>
          <w:sz w:val="24"/>
        </w:rPr>
        <w:t xml:space="preserve"> 本协议生效后，于本中心按照研究方案（含修正案）及计划完成研究工作时终止。如因非甲乙双方所能控制的原因导致临床研究于到期终止日不能完成，经双方申办者与主要研究者书面同意期限可以顺延。</w:t>
      </w:r>
    </w:p>
    <w:p w14:paraId="5A79B58B">
      <w:pPr>
        <w:autoSpaceDE w:val="0"/>
        <w:autoSpaceDN w:val="0"/>
        <w:adjustRightInd w:val="0"/>
        <w:spacing w:line="440" w:lineRule="exact"/>
        <w:jc w:val="left"/>
        <w:rPr>
          <w:rFonts w:hint="eastAsia" w:cs="F1"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2.2</w:t>
      </w:r>
      <w:r>
        <w:rPr>
          <w:rFonts w:hint="eastAsia" w:cs="F1" w:asciiTheme="minorEastAsia" w:hAnsiTheme="minorEastAsia" w:eastAsiaTheme="minorEastAsia"/>
          <w:b/>
          <w:color w:val="000000"/>
          <w:kern w:val="0"/>
          <w:sz w:val="24"/>
        </w:rPr>
        <w:t>下列情况下可终止本协议</w:t>
      </w:r>
    </w:p>
    <w:p w14:paraId="0A36861E">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w:t>
      </w:r>
      <w:r>
        <w:rPr>
          <w:rFonts w:cs="ArialMT" w:asciiTheme="minorEastAsia" w:hAnsiTheme="minorEastAsia" w:eastAsiaTheme="minorEastAsia"/>
          <w:color w:val="000000"/>
          <w:kern w:val="0"/>
          <w:sz w:val="24"/>
        </w:rPr>
        <w:t>a</w:t>
      </w:r>
      <w:r>
        <w:rPr>
          <w:rFonts w:hint="eastAsia" w:cs="F1" w:asciiTheme="minorEastAsia" w:hAnsiTheme="minorEastAsia" w:eastAsiaTheme="minorEastAsia"/>
          <w:color w:val="000000"/>
          <w:kern w:val="0"/>
          <w:sz w:val="24"/>
        </w:rPr>
        <w:t>）申办者监查、稽查中发现研究者不依从方案、药物管理不能满足试验要求，对受试者安全或试验数据造成实质性影响；</w:t>
      </w:r>
    </w:p>
    <w:p w14:paraId="68C3E099">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w:t>
      </w:r>
      <w:r>
        <w:rPr>
          <w:rFonts w:cs="ArialMT" w:asciiTheme="minorEastAsia" w:hAnsiTheme="minorEastAsia" w:eastAsiaTheme="minorEastAsia"/>
          <w:color w:val="000000"/>
          <w:kern w:val="0"/>
          <w:sz w:val="24"/>
        </w:rPr>
        <w:t>b</w:t>
      </w:r>
      <w:r>
        <w:rPr>
          <w:rFonts w:hint="eastAsia" w:cs="F1" w:asciiTheme="minorEastAsia" w:hAnsiTheme="minorEastAsia" w:eastAsiaTheme="minorEastAsia"/>
          <w:color w:val="000000"/>
          <w:kern w:val="0"/>
          <w:sz w:val="24"/>
        </w:rPr>
        <w:t>）申办者或主要研究者认为患者的安全将受到威胁；</w:t>
      </w:r>
    </w:p>
    <w:p w14:paraId="3D8C3429">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w:t>
      </w:r>
      <w:r>
        <w:rPr>
          <w:rFonts w:cs="ArialMT" w:asciiTheme="minorEastAsia" w:hAnsiTheme="minorEastAsia" w:eastAsiaTheme="minorEastAsia"/>
          <w:color w:val="000000"/>
          <w:kern w:val="0"/>
          <w:sz w:val="24"/>
        </w:rPr>
        <w:t>c</w:t>
      </w:r>
      <w:r>
        <w:rPr>
          <w:rFonts w:hint="eastAsia" w:cs="F1" w:asciiTheme="minorEastAsia" w:hAnsiTheme="minorEastAsia" w:eastAsiaTheme="minorEastAsia"/>
          <w:color w:val="000000"/>
          <w:kern w:val="0"/>
          <w:sz w:val="24"/>
        </w:rPr>
        <w:t>）因研究机构工作质量原因或入组速度不能满足试验需要；</w:t>
      </w:r>
    </w:p>
    <w:p w14:paraId="46B9D5E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（d</w:t>
      </w:r>
      <w:r>
        <w:rPr>
          <w:rFonts w:cs="F1"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申办者和研究机构任何一方发生对本协议的实质性违约；</w:t>
      </w:r>
    </w:p>
    <w:p w14:paraId="62508E15">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（e</w:t>
      </w:r>
      <w:r>
        <w:rPr>
          <w:rFonts w:cs="F1"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药品监管部门、卫生行政管理部门或伦理委员会等对研究有监管责任的部门要求终止时；</w:t>
      </w:r>
    </w:p>
    <w:p w14:paraId="4767A32E">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申办者提出终止试验时，研究机构接到试验终止通知后，主要研究者同意在受试者医疗状况允许的情况下，立即终止全部临床研究；研究机构或主要研究者提出终止试验时，申办者应积极配合关闭研究机构的工作，并将已完成的工作资料整理归档。</w:t>
      </w:r>
    </w:p>
    <w:p w14:paraId="6DEBF699">
      <w:pPr>
        <w:autoSpaceDE w:val="0"/>
        <w:autoSpaceDN w:val="0"/>
        <w:adjustRightInd w:val="0"/>
        <w:spacing w:line="440" w:lineRule="exact"/>
        <w:jc w:val="left"/>
        <w:rPr>
          <w:rFonts w:hint="eastAsia" w:cs="F1"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 xml:space="preserve">2.3 </w:t>
      </w:r>
      <w:r>
        <w:rPr>
          <w:rFonts w:hint="eastAsia" w:cs="F1" w:asciiTheme="minorEastAsia" w:hAnsiTheme="minorEastAsia" w:eastAsiaTheme="minorEastAsia"/>
          <w:b/>
          <w:color w:val="000000"/>
          <w:kern w:val="0"/>
          <w:sz w:val="24"/>
        </w:rPr>
        <w:t>临床研究终止的付款</w:t>
      </w:r>
    </w:p>
    <w:p w14:paraId="10603216">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w:t>
      </w:r>
      <w:r>
        <w:rPr>
          <w:rFonts w:cs="ArialMT" w:asciiTheme="minorEastAsia" w:hAnsiTheme="minorEastAsia" w:eastAsiaTheme="minorEastAsia"/>
          <w:color w:val="000000"/>
          <w:kern w:val="0"/>
          <w:sz w:val="24"/>
        </w:rPr>
        <w:t>a</w:t>
      </w:r>
      <w:r>
        <w:rPr>
          <w:rFonts w:hint="eastAsia" w:cs="F1" w:asciiTheme="minorEastAsia" w:hAnsiTheme="minorEastAsia" w:eastAsiaTheme="minorEastAsia"/>
          <w:color w:val="000000"/>
          <w:kern w:val="0"/>
          <w:sz w:val="24"/>
        </w:rPr>
        <w:t>）本临床研究因任何原因提前终止，申办者应按照附件2的标准向研究机构支付研究终止前已经发生的研究者费、检查化验费、受试者补偿等费用；</w:t>
      </w:r>
    </w:p>
    <w:p w14:paraId="556E3C0D">
      <w:pPr>
        <w:autoSpaceDE w:val="0"/>
        <w:autoSpaceDN w:val="0"/>
        <w:adjustRightInd w:val="0"/>
        <w:spacing w:line="440" w:lineRule="exact"/>
        <w:jc w:val="left"/>
        <w:rPr>
          <w:rFonts w:hint="eastAsia" w:cs="F1" w:asciiTheme="minorEastAsia" w:hAnsiTheme="minorEastAsia" w:eastAsiaTheme="minorEastAsia"/>
          <w:kern w:val="0"/>
          <w:sz w:val="24"/>
        </w:rPr>
      </w:pPr>
      <w:r>
        <w:rPr>
          <w:rFonts w:hint="eastAsia" w:cs="F1" w:asciiTheme="minorEastAsia" w:hAnsiTheme="minorEastAsia" w:eastAsiaTheme="minorEastAsia"/>
          <w:kern w:val="0"/>
          <w:sz w:val="24"/>
        </w:rPr>
        <w:t>（</w:t>
      </w:r>
      <w:r>
        <w:rPr>
          <w:rFonts w:hint="eastAsia" w:cs="ArialMT" w:asciiTheme="minorEastAsia" w:hAnsiTheme="minorEastAsia" w:eastAsiaTheme="minorEastAsia"/>
          <w:kern w:val="0"/>
          <w:sz w:val="24"/>
        </w:rPr>
        <w:t>b</w:t>
      </w:r>
      <w:r>
        <w:rPr>
          <w:rFonts w:hint="eastAsia" w:cs="F1" w:asciiTheme="minorEastAsia" w:hAnsiTheme="minorEastAsia" w:eastAsiaTheme="minorEastAsia"/>
          <w:kern w:val="0"/>
          <w:sz w:val="24"/>
        </w:rPr>
        <w:t>）申办者和研究机构均无需因临床研究终止向对方支付违约金；</w:t>
      </w:r>
    </w:p>
    <w:p w14:paraId="01029232">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（c</w:t>
      </w:r>
      <w:r>
        <w:rPr>
          <w:rFonts w:cs="F1"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若申办者预先支付研究费用超出实际发生金额，研究机构应返还超出部分的费用。</w:t>
      </w:r>
    </w:p>
    <w:p w14:paraId="5AAF48FA">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118F7D3C">
      <w:pPr>
        <w:autoSpaceDE w:val="0"/>
        <w:autoSpaceDN w:val="0"/>
        <w:adjustRightInd w:val="0"/>
        <w:spacing w:line="440" w:lineRule="exact"/>
        <w:jc w:val="left"/>
        <w:rPr>
          <w:rFonts w:hint="eastAsia" w:cs="ArialMT"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3</w:t>
      </w:r>
      <w:r>
        <w:rPr>
          <w:rFonts w:cs="ArialMT" w:asciiTheme="minorEastAsia" w:hAnsiTheme="minorEastAsia" w:eastAsiaTheme="minorEastAsia"/>
          <w:b/>
          <w:color w:val="000000"/>
          <w:kern w:val="0"/>
          <w:sz w:val="24"/>
        </w:rPr>
        <w:t>.</w:t>
      </w:r>
      <w:r>
        <w:rPr>
          <w:rFonts w:hint="eastAsia" w:cs="ArialMT" w:asciiTheme="minorEastAsia" w:hAnsiTheme="minorEastAsia" w:eastAsiaTheme="minorEastAsia"/>
          <w:b/>
          <w:color w:val="000000"/>
          <w:kern w:val="0"/>
          <w:sz w:val="24"/>
        </w:rPr>
        <w:t>所有权、发表和保密</w:t>
      </w:r>
    </w:p>
    <w:p w14:paraId="48C420A4">
      <w:pPr>
        <w:autoSpaceDE w:val="0"/>
        <w:autoSpaceDN w:val="0"/>
        <w:adjustRightInd w:val="0"/>
        <w:spacing w:line="440" w:lineRule="exact"/>
        <w:jc w:val="left"/>
        <w:rPr>
          <w:rFonts w:hint="eastAsia" w:cs="ArialMT"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3.1所有权</w:t>
      </w:r>
    </w:p>
    <w:p w14:paraId="2725161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w:t>
      </w:r>
      <w:r>
        <w:rPr>
          <w:rFonts w:cs="F1" w:asciiTheme="minorEastAsia" w:hAnsiTheme="minorEastAsia" w:eastAsiaTheme="minorEastAsia"/>
          <w:color w:val="000000"/>
          <w:kern w:val="0"/>
          <w:sz w:val="24"/>
        </w:rPr>
        <w:t>a</w:t>
      </w:r>
      <w:r>
        <w:rPr>
          <w:rFonts w:hint="eastAsia" w:cs="F1" w:asciiTheme="minorEastAsia" w:hAnsiTheme="minorEastAsia" w:eastAsiaTheme="minorEastAsia"/>
          <w:color w:val="000000"/>
          <w:kern w:val="0"/>
          <w:sz w:val="24"/>
        </w:rPr>
        <w:t>）试验产生的数据和信息，由申办者、研究机构根据《药物临床试验质量管理规范》和《人类遗传资源管理条例》的要求保管和使用；基于试验数据产生的著作，研究者有署名权；医院保留对原始医疗记录及原始数据（包括但不限于病历）的所有权；试验结束后，申办者将提交给各合作医院一份附有详细试验数据的临床研究总结报告，研究数据由申办者与研究机构共享。</w:t>
      </w:r>
    </w:p>
    <w:p w14:paraId="54CE048A">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（b</w:t>
      </w:r>
      <w:r>
        <w:rPr>
          <w:rFonts w:cs="F1"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如果试验中涉及探索性研究，研究成果属于中国《人类遗传资源管理暂行办法》规定的专利保护范围的，应由申办者和提供样本的医疗机构共同申请专利，专利权归双方共有。双方可根据协议共同实施或分别在本国境内实施该项专利，但向第三方转让或者许可第三方实施，必须经过双方同意，所获利益按双方贡献大小分享。探索性研究产生的其他成果应根据申办者和中方合作医疗机构的贡献大小分享，双方都有使用的权利，但向第三方转让须经双方同意，所获利益按贡献大小分享。</w:t>
      </w:r>
    </w:p>
    <w:p w14:paraId="7E911033">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c）本试验中采集的所有受试者信息和标本，申办者保证仅用于本试验方案规定的研究目的，不得转售、不得转让、不得用于其他研究。申办者保证本研究完成后，所剩余生物样本按照中心实验室流程销毁，不得私自保存。</w:t>
      </w:r>
    </w:p>
    <w:p w14:paraId="1E276E37">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（d）参与本试验的CRO、SMO均不享有试验相关资料的所有权和知识产权。</w:t>
      </w:r>
    </w:p>
    <w:p w14:paraId="69BBE6DB">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（e）申办者在使用本研究的数据获得药新药生产批件后，申办者应向各合作医院提供一份复印件存档。</w:t>
      </w:r>
    </w:p>
    <w:p w14:paraId="68944635">
      <w:pPr>
        <w:autoSpaceDE w:val="0"/>
        <w:autoSpaceDN w:val="0"/>
        <w:adjustRightInd w:val="0"/>
        <w:spacing w:line="440" w:lineRule="exact"/>
        <w:jc w:val="left"/>
        <w:rPr>
          <w:rFonts w:hint="eastAsia" w:cs="ArialMT"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3.2 发表</w:t>
      </w:r>
    </w:p>
    <w:p w14:paraId="1B56599D">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（a）研究机构有权为学术研究发表本试验相关内容。各合作医院在发表论文前均应得到申办者同意。在研究结果没有正式发表之前，各合作医院在学术会议上交流该临床研究结果时应事先征得申办者同意。</w:t>
      </w:r>
    </w:p>
    <w:p w14:paraId="5AB8A743">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b）研究结果在发表论文时，通讯作者和第一作者所属单位为本试验的牵头单位，其他合作医院按贡献大小依次署名。申办者在任何国家和地区独立发表任何研究结果时，均将根据标准学术实践对中国研究者所做的智力贡献作相应认可。</w:t>
      </w:r>
    </w:p>
    <w:p w14:paraId="78F59D43">
      <w:pPr>
        <w:autoSpaceDE w:val="0"/>
        <w:autoSpaceDN w:val="0"/>
        <w:adjustRightInd w:val="0"/>
        <w:spacing w:line="440" w:lineRule="exact"/>
        <w:jc w:val="left"/>
        <w:rPr>
          <w:rFonts w:hint="eastAsia" w:cs="ArialMT"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3.3 保密</w:t>
      </w:r>
    </w:p>
    <w:p w14:paraId="019F1113">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所有由申办者提供给研究机构或主要研究者的未经发表的信息均为保密信息，这些信息包括但不限于研究药物、临床研究方案、生产工艺、基础科学数据、既往临床研究资料（</w:t>
      </w:r>
      <w:r>
        <w:rPr>
          <w:rFonts w:hint="eastAsia" w:cs="ArialMT"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申办者保密信息</w:t>
      </w:r>
      <w:r>
        <w:rPr>
          <w:rFonts w:hint="eastAsia" w:cs="ArialMT"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在本协议执行期限之内及之后，研究机构将尽力予以保密。该条款不适用于申办者已经公开发表或研究机构遵照本协议公开发表的数据或信息。若法律或法定程序要求研究机构披露任何申办者保密信息，则不受保密条款限制。</w:t>
      </w:r>
    </w:p>
    <w:p w14:paraId="4E5EB196">
      <w:pPr>
        <w:autoSpaceDE w:val="0"/>
        <w:autoSpaceDN w:val="0"/>
        <w:adjustRightInd w:val="0"/>
        <w:spacing w:line="440" w:lineRule="exact"/>
        <w:jc w:val="left"/>
        <w:rPr>
          <w:rFonts w:hint="eastAsia" w:cs="ArialMT" w:asciiTheme="minorEastAsia" w:hAnsiTheme="minorEastAsia" w:eastAsiaTheme="minorEastAsia"/>
          <w:b/>
          <w:color w:val="000000"/>
          <w:kern w:val="0"/>
          <w:sz w:val="24"/>
          <w:u w:val="single"/>
        </w:rPr>
      </w:pPr>
    </w:p>
    <w:p w14:paraId="21CF9D5D">
      <w:pPr>
        <w:autoSpaceDE w:val="0"/>
        <w:autoSpaceDN w:val="0"/>
        <w:adjustRightInd w:val="0"/>
        <w:spacing w:line="440" w:lineRule="exact"/>
        <w:jc w:val="left"/>
        <w:rPr>
          <w:rFonts w:hint="eastAsia" w:cs="ArialMT" w:asciiTheme="minorEastAsia" w:hAnsiTheme="minorEastAsia" w:eastAsiaTheme="minorEastAsia"/>
          <w:b/>
          <w:color w:val="000000"/>
          <w:kern w:val="0"/>
          <w:sz w:val="24"/>
          <w:u w:val="single"/>
        </w:rPr>
      </w:pPr>
      <w:r>
        <w:rPr>
          <w:rFonts w:hint="eastAsia" w:cs="ArialMT" w:asciiTheme="minorEastAsia" w:hAnsiTheme="minorEastAsia" w:eastAsiaTheme="minorEastAsia"/>
          <w:b/>
          <w:color w:val="000000"/>
          <w:kern w:val="0"/>
          <w:sz w:val="24"/>
          <w:u w:val="single"/>
        </w:rPr>
        <w:t>4 注册与备案</w:t>
      </w:r>
    </w:p>
    <w:p w14:paraId="34D4BDDF">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color w:val="000000"/>
          <w:kern w:val="0"/>
          <w:sz w:val="24"/>
        </w:rPr>
        <w:t>申办者负责将研究相关信息向国家药品监管部门和当地药品监督管理部门备案。</w:t>
      </w:r>
      <w:r>
        <w:rPr>
          <w:rFonts w:hint="eastAsia" w:cs="F1" w:asciiTheme="minorEastAsia" w:hAnsiTheme="minorEastAsia" w:eastAsiaTheme="minorEastAsia"/>
          <w:color w:val="000000"/>
          <w:kern w:val="0"/>
          <w:sz w:val="24"/>
        </w:rPr>
        <w:t>同时，在中国临床试验注册中心</w:t>
      </w:r>
      <w:r>
        <w:rPr>
          <w:sz w:val="24"/>
        </w:rPr>
        <w:t>http://www.chictr.org/cn/</w:t>
      </w:r>
      <w:r>
        <w:rPr>
          <w:rFonts w:hint="eastAsia"/>
          <w:sz w:val="24"/>
        </w:rPr>
        <w:t xml:space="preserve"> 或</w:t>
      </w:r>
      <w:r>
        <w:rPr>
          <w:rFonts w:hint="eastAsia" w:cs="F1" w:asciiTheme="minorEastAsia" w:hAnsiTheme="minorEastAsia" w:eastAsiaTheme="minorEastAsia"/>
          <w:color w:val="000000"/>
          <w:kern w:val="0"/>
          <w:sz w:val="24"/>
        </w:rPr>
        <w:t>在美国国家医学图书馆</w:t>
      </w:r>
      <w:r>
        <w:rPr>
          <w:rFonts w:cs="ArialMT" w:asciiTheme="minorEastAsia" w:hAnsiTheme="minorEastAsia" w:eastAsiaTheme="minorEastAsia"/>
          <w:color w:val="000000"/>
          <w:kern w:val="0"/>
          <w:sz w:val="24"/>
        </w:rPr>
        <w:t>www.clinicaltrials.gov</w:t>
      </w:r>
      <w:r>
        <w:rPr>
          <w:rFonts w:hint="eastAsia" w:cs="F1" w:asciiTheme="minorEastAsia" w:hAnsiTheme="minorEastAsia" w:eastAsiaTheme="minorEastAsia"/>
          <w:color w:val="000000"/>
          <w:kern w:val="0"/>
          <w:sz w:val="24"/>
        </w:rPr>
        <w:t>的网站上进行注册。</w:t>
      </w:r>
    </w:p>
    <w:p w14:paraId="6084D99E">
      <w:pPr>
        <w:autoSpaceDE w:val="0"/>
        <w:autoSpaceDN w:val="0"/>
        <w:adjustRightInd w:val="0"/>
        <w:spacing w:line="440" w:lineRule="exact"/>
        <w:ind w:firstLine="482" w:firstLineChars="200"/>
        <w:jc w:val="left"/>
        <w:rPr>
          <w:rFonts w:hint="eastAsia" w:cs="ArialMT" w:asciiTheme="minorEastAsia" w:hAnsiTheme="minorEastAsia" w:eastAsiaTheme="minorEastAsia"/>
          <w:b/>
          <w:color w:val="000000"/>
          <w:kern w:val="0"/>
          <w:sz w:val="24"/>
        </w:rPr>
      </w:pPr>
    </w:p>
    <w:p w14:paraId="639D78C9">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5</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研究记录及数据报告</w:t>
      </w:r>
    </w:p>
    <w:p w14:paraId="2B2F908F">
      <w:pPr>
        <w:autoSpaceDE w:val="0"/>
        <w:autoSpaceDN w:val="0"/>
        <w:adjustRightInd w:val="0"/>
        <w:spacing w:line="440" w:lineRule="exact"/>
        <w:jc w:val="left"/>
        <w:rPr>
          <w:rFonts w:hint="eastAsia" w:cs="F1" w:asciiTheme="minorEastAsia" w:hAnsiTheme="minorEastAsia" w:eastAsiaTheme="minorEastAsia"/>
          <w:kern w:val="0"/>
          <w:sz w:val="24"/>
        </w:rPr>
      </w:pPr>
      <w:r>
        <w:rPr>
          <w:rFonts w:hint="eastAsia" w:cs="ArialMT" w:asciiTheme="minorEastAsia" w:hAnsiTheme="minorEastAsia" w:eastAsiaTheme="minorEastAsia"/>
          <w:b/>
          <w:kern w:val="0"/>
          <w:sz w:val="24"/>
        </w:rPr>
        <w:t>5.1</w:t>
      </w:r>
      <w:r>
        <w:rPr>
          <w:rFonts w:hint="eastAsia" w:cs="ArialMT" w:asciiTheme="minorEastAsia" w:hAnsiTheme="minorEastAsia" w:eastAsiaTheme="minorEastAsia"/>
          <w:kern w:val="0"/>
          <w:sz w:val="24"/>
        </w:rPr>
        <w:t xml:space="preserve"> </w:t>
      </w:r>
      <w:r>
        <w:rPr>
          <w:rFonts w:hint="eastAsia" w:cs="F1" w:asciiTheme="minorEastAsia" w:hAnsiTheme="minorEastAsia" w:eastAsiaTheme="minorEastAsia"/>
          <w:kern w:val="0"/>
          <w:sz w:val="24"/>
        </w:rPr>
        <w:t>主要研究者同意及时正确书写、并妥善保存研究记录，包括：临床研究方案要求的全部临床研究结果以及其他数据。如不能按要求完成数据收集，申办者有权终止研究。</w:t>
      </w:r>
    </w:p>
    <w:p w14:paraId="5AC99A1C">
      <w:pPr>
        <w:autoSpaceDE w:val="0"/>
        <w:autoSpaceDN w:val="0"/>
        <w:adjustRightInd w:val="0"/>
        <w:spacing w:line="440" w:lineRule="exact"/>
        <w:jc w:val="left"/>
        <w:rPr>
          <w:rFonts w:hint="eastAsia" w:cs="F1" w:asciiTheme="minorEastAsia" w:hAnsiTheme="minorEastAsia" w:eastAsiaTheme="minorEastAsia"/>
          <w:kern w:val="0"/>
          <w:sz w:val="24"/>
        </w:rPr>
      </w:pPr>
      <w:r>
        <w:rPr>
          <w:rFonts w:hint="eastAsia" w:cs="ArialMT" w:asciiTheme="minorEastAsia" w:hAnsiTheme="minorEastAsia" w:eastAsiaTheme="minorEastAsia"/>
          <w:b/>
          <w:kern w:val="0"/>
          <w:sz w:val="24"/>
        </w:rPr>
        <w:t>5.2</w:t>
      </w:r>
      <w:r>
        <w:rPr>
          <w:rFonts w:hint="eastAsia" w:cs="ArialMT" w:asciiTheme="minorEastAsia" w:hAnsiTheme="minorEastAsia" w:eastAsiaTheme="minorEastAsia"/>
          <w:kern w:val="0"/>
          <w:sz w:val="24"/>
        </w:rPr>
        <w:t xml:space="preserve"> </w:t>
      </w:r>
      <w:r>
        <w:rPr>
          <w:rFonts w:hint="eastAsia" w:cs="F1" w:asciiTheme="minorEastAsia" w:hAnsiTheme="minorEastAsia" w:eastAsiaTheme="minorEastAsia"/>
          <w:kern w:val="0"/>
          <w:sz w:val="24"/>
        </w:rPr>
        <w:t>如以</w:t>
      </w:r>
      <w:r>
        <w:rPr>
          <w:rFonts w:cs="ArialMT" w:asciiTheme="minorEastAsia" w:hAnsiTheme="minorEastAsia" w:eastAsiaTheme="minorEastAsia"/>
          <w:kern w:val="0"/>
          <w:sz w:val="24"/>
        </w:rPr>
        <w:t>EDC</w:t>
      </w:r>
      <w:r>
        <w:rPr>
          <w:rFonts w:hint="eastAsia" w:cs="F1" w:asciiTheme="minorEastAsia" w:hAnsiTheme="minorEastAsia" w:eastAsiaTheme="minorEastAsia"/>
          <w:kern w:val="0"/>
          <w:sz w:val="24"/>
        </w:rPr>
        <w:t>系统录入研究数据和研究报告，研究者应确保在临床研究期间用于数据录入的电脑的安全性，以及确保研究者和其他研究相关人员安全妥善地保管系统的使用密码。主要研究者同意在录入电子病例报告表（</w:t>
      </w:r>
      <w:r>
        <w:rPr>
          <w:rFonts w:cs="ArialMT" w:asciiTheme="minorEastAsia" w:hAnsiTheme="minorEastAsia" w:eastAsiaTheme="minorEastAsia"/>
          <w:kern w:val="0"/>
          <w:sz w:val="24"/>
        </w:rPr>
        <w:t>eCRF</w:t>
      </w:r>
      <w:r>
        <w:rPr>
          <w:rFonts w:hint="eastAsia" w:cs="F1" w:asciiTheme="minorEastAsia" w:hAnsiTheme="minorEastAsia" w:eastAsiaTheme="minorEastAsia"/>
          <w:kern w:val="0"/>
          <w:sz w:val="24"/>
        </w:rPr>
        <w:t>）之前在原始病历中记录所有临床研究数据。如不能按要求完成上述工作，申办者有权终止研究。</w:t>
      </w:r>
    </w:p>
    <w:p w14:paraId="032A0E0D">
      <w:pPr>
        <w:autoSpaceDE w:val="0"/>
        <w:autoSpaceDN w:val="0"/>
        <w:adjustRightInd w:val="0"/>
        <w:spacing w:line="440" w:lineRule="exact"/>
        <w:jc w:val="left"/>
        <w:rPr>
          <w:rFonts w:hint="eastAsia" w:cs="F1"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 xml:space="preserve">5.4 </w:t>
      </w:r>
      <w:r>
        <w:rPr>
          <w:rFonts w:hint="eastAsia" w:cs="F1" w:asciiTheme="minorEastAsia" w:hAnsiTheme="minorEastAsia" w:eastAsiaTheme="minorEastAsia"/>
          <w:b/>
          <w:color w:val="000000"/>
          <w:kern w:val="0"/>
          <w:sz w:val="24"/>
        </w:rPr>
        <w:t>不良事件</w:t>
      </w:r>
    </w:p>
    <w:p w14:paraId="7F69AF15">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主要研究者承诺记录并存档临床研究中就受试者发生的不良事件和</w:t>
      </w:r>
      <w:r>
        <w:rPr>
          <w:rFonts w:cs="ArialMT"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或受试者或其配偶发生的妊娠事件，并在获知严重不良事件或妊娠事件</w:t>
      </w:r>
      <w:r>
        <w:rPr>
          <w:rFonts w:cs="ArialMT" w:asciiTheme="minorEastAsia" w:hAnsiTheme="minorEastAsia" w:eastAsiaTheme="minorEastAsia"/>
          <w:color w:val="000000"/>
          <w:kern w:val="0"/>
          <w:sz w:val="24"/>
        </w:rPr>
        <w:t>24</w:t>
      </w:r>
      <w:r>
        <w:rPr>
          <w:rFonts w:hint="eastAsia" w:cs="F1" w:asciiTheme="minorEastAsia" w:hAnsiTheme="minorEastAsia" w:eastAsiaTheme="minorEastAsia"/>
          <w:color w:val="000000"/>
          <w:kern w:val="0"/>
          <w:sz w:val="24"/>
        </w:rPr>
        <w:t>小时内通知申办者，并及时报告给</w:t>
      </w:r>
      <w:r>
        <w:rPr>
          <w:rFonts w:hint="eastAsia" w:cs="ArialMT" w:asciiTheme="minorEastAsia" w:hAnsiTheme="minorEastAsia" w:eastAsiaTheme="minorEastAsia"/>
          <w:color w:val="000000"/>
          <w:kern w:val="0"/>
          <w:sz w:val="24"/>
        </w:rPr>
        <w:t>国家药品监管部门</w:t>
      </w:r>
      <w:r>
        <w:rPr>
          <w:rFonts w:hint="eastAsia" w:cs="F1" w:asciiTheme="minorEastAsia" w:hAnsiTheme="minorEastAsia" w:eastAsiaTheme="minorEastAsia"/>
          <w:color w:val="000000"/>
          <w:kern w:val="0"/>
          <w:sz w:val="24"/>
        </w:rPr>
        <w:t xml:space="preserve">和伦理委员会。主要研究者还应以合适的报告形式随访事件，随访报告的时限和单位同首次报告。 </w:t>
      </w:r>
      <w:r>
        <w:rPr>
          <w:rFonts w:cs="F1" w:asciiTheme="minorEastAsia" w:hAnsiTheme="minorEastAsia" w:eastAsiaTheme="minorEastAsia"/>
          <w:color w:val="000000"/>
          <w:kern w:val="0"/>
          <w:sz w:val="24"/>
        </w:rPr>
        <w:t xml:space="preserve"> </w:t>
      </w:r>
    </w:p>
    <w:p w14:paraId="146EB8D6">
      <w:pPr>
        <w:autoSpaceDE w:val="0"/>
        <w:autoSpaceDN w:val="0"/>
        <w:adjustRightInd w:val="0"/>
        <w:spacing w:line="440" w:lineRule="exact"/>
        <w:ind w:firstLine="480" w:firstLineChars="200"/>
        <w:jc w:val="left"/>
        <w:rPr>
          <w:rFonts w:hint="eastAsia" w:cs="ArialMT" w:asciiTheme="minorEastAsia" w:hAnsiTheme="minorEastAsia" w:eastAsiaTheme="minorEastAsia"/>
          <w:color w:val="000000"/>
          <w:kern w:val="0"/>
          <w:sz w:val="24"/>
        </w:rPr>
      </w:pPr>
    </w:p>
    <w:p w14:paraId="76B5AC0D">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6</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临床研究监查、稽查</w:t>
      </w:r>
    </w:p>
    <w:p w14:paraId="32966569">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 xml:space="preserve">6.1 </w:t>
      </w:r>
      <w:r>
        <w:rPr>
          <w:rFonts w:hint="eastAsia" w:cs="F1" w:asciiTheme="minorEastAsia" w:hAnsiTheme="minorEastAsia" w:eastAsiaTheme="minorEastAsia"/>
          <w:color w:val="000000"/>
          <w:kern w:val="0"/>
          <w:sz w:val="24"/>
        </w:rPr>
        <w:t>申办者应委托合格的监查员根据GCP的要求对临床试验相关的全部工作进行监查，研究机构和主要研究者应为监查员的监查工作提供工作场所和便利条件，申办者委托的监查员应以书面监查报告的形式及时向研究者、研究机构和申办者反馈研究中违反方案或GCP要求的情况，申办者（申办者）根据研究进展和研究者方案的执行情况定期评估是否终止研究机构的研究工作；</w:t>
      </w:r>
    </w:p>
    <w:p w14:paraId="4EBD3C31">
      <w:pPr>
        <w:autoSpaceDE w:val="0"/>
        <w:autoSpaceDN w:val="0"/>
        <w:adjustRightInd w:val="0"/>
        <w:spacing w:line="440" w:lineRule="exact"/>
        <w:jc w:val="left"/>
        <w:rPr>
          <w:rFonts w:hint="eastAsia" w:cs="F1"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 xml:space="preserve">6.2 </w:t>
      </w:r>
      <w:r>
        <w:rPr>
          <w:rFonts w:hint="eastAsia" w:cs="F1" w:asciiTheme="minorEastAsia" w:hAnsiTheme="minorEastAsia" w:eastAsiaTheme="minorEastAsia"/>
          <w:color w:val="000000"/>
          <w:kern w:val="0"/>
          <w:sz w:val="24"/>
        </w:rPr>
        <w:t>研究机构及主要研究者同意在正常工作时间的任何适当时候，允许申办者或其他政府研究机构的代表监查、稽查或检查，包括：（</w:t>
      </w:r>
      <w:r>
        <w:rPr>
          <w:rFonts w:cs="ArialMT" w:asciiTheme="minorEastAsia" w:hAnsiTheme="minorEastAsia" w:eastAsiaTheme="minorEastAsia"/>
          <w:color w:val="000000"/>
          <w:kern w:val="0"/>
          <w:sz w:val="24"/>
        </w:rPr>
        <w:t>a</w:t>
      </w:r>
      <w:r>
        <w:rPr>
          <w:rFonts w:hint="eastAsia" w:cs="F1" w:asciiTheme="minorEastAsia" w:hAnsiTheme="minorEastAsia" w:eastAsiaTheme="minorEastAsia"/>
          <w:color w:val="000000"/>
          <w:kern w:val="0"/>
          <w:sz w:val="24"/>
        </w:rPr>
        <w:t>）研究工作实施的场所和设备；（</w:t>
      </w:r>
      <w:r>
        <w:rPr>
          <w:rFonts w:cs="ArialMT" w:asciiTheme="minorEastAsia" w:hAnsiTheme="minorEastAsia" w:eastAsiaTheme="minorEastAsia"/>
          <w:color w:val="000000"/>
          <w:kern w:val="0"/>
          <w:sz w:val="24"/>
        </w:rPr>
        <w:t>b</w:t>
      </w:r>
      <w:r>
        <w:rPr>
          <w:rFonts w:hint="eastAsia" w:cs="F1" w:asciiTheme="minorEastAsia" w:hAnsiTheme="minorEastAsia" w:eastAsiaTheme="minorEastAsia"/>
          <w:color w:val="000000"/>
          <w:kern w:val="0"/>
          <w:sz w:val="24"/>
        </w:rPr>
        <w:t>）研究的原始资料，包括受试者原始病例；及（</w:t>
      </w:r>
      <w:r>
        <w:rPr>
          <w:rFonts w:cs="ArialMT" w:asciiTheme="minorEastAsia" w:hAnsiTheme="minorEastAsia" w:eastAsiaTheme="minorEastAsia"/>
          <w:color w:val="000000"/>
          <w:kern w:val="0"/>
          <w:sz w:val="24"/>
        </w:rPr>
        <w:t>c</w:t>
      </w:r>
      <w:r>
        <w:rPr>
          <w:rFonts w:hint="eastAsia" w:cs="F1" w:asciiTheme="minorEastAsia" w:hAnsiTheme="minorEastAsia" w:eastAsiaTheme="minorEastAsia"/>
          <w:color w:val="000000"/>
          <w:kern w:val="0"/>
          <w:sz w:val="24"/>
        </w:rPr>
        <w:t>）其他能够帮助申办者确认所进行的研究符合临床研究方案的要求，并遵守</w:t>
      </w:r>
      <w:r>
        <w:rPr>
          <w:rFonts w:cs="ArialMT" w:asciiTheme="minorEastAsia" w:hAnsiTheme="minorEastAsia" w:eastAsiaTheme="minorEastAsia"/>
          <w:color w:val="000000"/>
          <w:kern w:val="0"/>
          <w:sz w:val="24"/>
        </w:rPr>
        <w:t>CFDA</w:t>
      </w:r>
      <w:r>
        <w:rPr>
          <w:rFonts w:hint="eastAsia" w:cs="F1" w:asciiTheme="minorEastAsia" w:hAnsiTheme="minorEastAsia" w:eastAsiaTheme="minorEastAsia"/>
          <w:color w:val="000000"/>
          <w:kern w:val="0"/>
          <w:sz w:val="24"/>
        </w:rPr>
        <w:t>的规定及其他相关法律法规所必须的其他相关信息。申办者监查、稽查后，应及时以书面形式向研究机构及研究者反馈结果。</w:t>
      </w:r>
    </w:p>
    <w:p w14:paraId="4CBB15D7">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 xml:space="preserve">6.3 </w:t>
      </w:r>
      <w:r>
        <w:rPr>
          <w:rFonts w:hint="eastAsia" w:cs="F1" w:asciiTheme="minorEastAsia" w:hAnsiTheme="minorEastAsia" w:eastAsiaTheme="minorEastAsia"/>
          <w:color w:val="000000"/>
          <w:kern w:val="0"/>
          <w:sz w:val="24"/>
        </w:rPr>
        <w:t>研究机构及研究者同意采取申办者要求的所有适当措施纠正在监查、稽查或检查中发现的不足，如果纠正措施不能满足申办者要求，申办者有权终止研究项目。</w:t>
      </w:r>
    </w:p>
    <w:p w14:paraId="4041C47A">
      <w:pPr>
        <w:autoSpaceDE w:val="0"/>
        <w:autoSpaceDN w:val="0"/>
        <w:adjustRightInd w:val="0"/>
        <w:spacing w:line="440" w:lineRule="exact"/>
        <w:jc w:val="left"/>
        <w:rPr>
          <w:sz w:val="24"/>
          <w:shd w:val="clear" w:color="auto" w:fill="FFFFFF"/>
        </w:rPr>
      </w:pPr>
      <w:r>
        <w:rPr>
          <w:rFonts w:hint="eastAsia" w:cs="F1" w:asciiTheme="minorEastAsia" w:hAnsiTheme="minorEastAsia" w:eastAsiaTheme="minorEastAsia"/>
          <w:b/>
          <w:color w:val="000000"/>
          <w:kern w:val="0"/>
          <w:sz w:val="24"/>
        </w:rPr>
        <w:t xml:space="preserve">6.4 </w:t>
      </w:r>
      <w:r>
        <w:rPr>
          <w:rFonts w:hint="eastAsia"/>
          <w:sz w:val="24"/>
          <w:shd w:val="clear" w:color="auto" w:fill="FFFFFF"/>
        </w:rPr>
        <w:t>申办者或监查员发现研究机构未严格执行试验方案或未严格执行</w:t>
      </w:r>
      <w:r>
        <w:rPr>
          <w:rFonts w:ascii="Helvetica" w:hAnsi="Helvetica"/>
          <w:sz w:val="24"/>
          <w:shd w:val="clear" w:color="auto" w:fill="FFFFFF"/>
        </w:rPr>
        <w:t>GCP</w:t>
      </w:r>
      <w:r>
        <w:rPr>
          <w:rFonts w:hint="eastAsia"/>
          <w:sz w:val="24"/>
          <w:shd w:val="clear" w:color="auto" w:fill="FFFFFF"/>
        </w:rPr>
        <w:t>，申办者或监查员应及时通知研究者进行整改，直至整改合格，并达到试验申办者要求。申办者或</w:t>
      </w:r>
      <w:r>
        <w:rPr>
          <w:rFonts w:ascii="Helvetica" w:hAnsi="Helvetica"/>
          <w:sz w:val="24"/>
          <w:shd w:val="clear" w:color="auto" w:fill="FFFFFF"/>
        </w:rPr>
        <w:t>CRO</w:t>
      </w:r>
      <w:r>
        <w:rPr>
          <w:rFonts w:hint="eastAsia"/>
          <w:sz w:val="24"/>
          <w:shd w:val="clear" w:color="auto" w:fill="FFFFFF"/>
        </w:rPr>
        <w:t>监查员的监查记录对试验数据和质量的认同即代表试验申办者或</w:t>
      </w:r>
      <w:r>
        <w:rPr>
          <w:rFonts w:ascii="Helvetica" w:hAnsi="Helvetica"/>
          <w:sz w:val="24"/>
          <w:shd w:val="clear" w:color="auto" w:fill="FFFFFF"/>
        </w:rPr>
        <w:t>CRO</w:t>
      </w:r>
      <w:r>
        <w:rPr>
          <w:rFonts w:hint="eastAsia"/>
          <w:sz w:val="24"/>
          <w:shd w:val="clear" w:color="auto" w:fill="FFFFFF"/>
        </w:rPr>
        <w:t>最终确认接受试验数据。基于对这些数据的接受，试验申办者或</w:t>
      </w:r>
      <w:r>
        <w:rPr>
          <w:rFonts w:ascii="Helvetica" w:hAnsi="Helvetica"/>
          <w:sz w:val="24"/>
          <w:shd w:val="clear" w:color="auto" w:fill="FFFFFF"/>
        </w:rPr>
        <w:t>CRO</w:t>
      </w:r>
      <w:r>
        <w:rPr>
          <w:rFonts w:hint="eastAsia"/>
          <w:sz w:val="24"/>
          <w:shd w:val="clear" w:color="auto" w:fill="FFFFFF"/>
        </w:rPr>
        <w:t>将不得再对日后发现的试验数据差异或其他质量问题要求研究机构承担责任。</w:t>
      </w:r>
    </w:p>
    <w:p w14:paraId="361B6153">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5371814C">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7</w:t>
      </w:r>
      <w:r>
        <w:rPr>
          <w:rFonts w:cs="F4,Bold" w:asciiTheme="minorEastAsia" w:hAnsiTheme="minorEastAsia" w:eastAsiaTheme="minorEastAsia"/>
          <w:b/>
          <w:bCs/>
          <w:color w:val="000000"/>
          <w:kern w:val="0"/>
          <w:sz w:val="24"/>
          <w:u w:val="single"/>
        </w:rPr>
        <w:t>.</w:t>
      </w:r>
      <w:r>
        <w:rPr>
          <w:rFonts w:hint="eastAsia" w:cs="F4,Bold" w:asciiTheme="minorEastAsia" w:hAnsiTheme="minorEastAsia" w:eastAsiaTheme="minorEastAsia"/>
          <w:b/>
          <w:bCs/>
          <w:color w:val="000000"/>
          <w:kern w:val="0"/>
          <w:sz w:val="24"/>
          <w:u w:val="single"/>
        </w:rPr>
        <w:t xml:space="preserve"> 法规要求</w:t>
      </w:r>
    </w:p>
    <w:p w14:paraId="447A19C6">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 xml:space="preserve">7.1 </w:t>
      </w:r>
      <w:r>
        <w:rPr>
          <w:rFonts w:hint="eastAsia" w:cs="F1" w:asciiTheme="minorEastAsia" w:hAnsiTheme="minorEastAsia" w:eastAsiaTheme="minorEastAsia"/>
          <w:color w:val="000000"/>
          <w:kern w:val="0"/>
          <w:sz w:val="24"/>
        </w:rPr>
        <w:t>研究机构及主要研究者同意在本协议期间及以后按照临床研究方案及中国《临床试验质量管理规范》的要求从事临床研究，并妥善保存数据资料。研究机构应将数据资料保存至临床研究结束后5年。</w:t>
      </w:r>
    </w:p>
    <w:p w14:paraId="1B3BA09E">
      <w:pPr>
        <w:autoSpaceDE w:val="0"/>
        <w:autoSpaceDN w:val="0"/>
        <w:adjustRightInd w:val="0"/>
        <w:spacing w:line="440" w:lineRule="exact"/>
        <w:jc w:val="left"/>
        <w:rPr>
          <w:rFonts w:hint="eastAsia" w:cs="F1"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7.2</w:t>
      </w:r>
      <w:r>
        <w:rPr>
          <w:rFonts w:cs="F1" w:asciiTheme="minorEastAsia" w:hAnsiTheme="minorEastAsia" w:eastAsiaTheme="minorEastAsia"/>
          <w:b/>
          <w:color w:val="000000"/>
          <w:kern w:val="0"/>
          <w:sz w:val="24"/>
        </w:rPr>
        <w:t xml:space="preserve"> </w:t>
      </w:r>
      <w:r>
        <w:rPr>
          <w:rFonts w:hint="eastAsia" w:cs="F1" w:asciiTheme="minorEastAsia" w:hAnsiTheme="minorEastAsia" w:eastAsiaTheme="minorEastAsia"/>
          <w:color w:val="000000"/>
          <w:kern w:val="0"/>
          <w:sz w:val="24"/>
        </w:rPr>
        <w:t>协议各方同意对受试者个人信息、研究人员个人信息的收集、处理和公开要遵守与个人信息保护和安全相关的法律和法规。协议各方同意采取一切可行的措施保护上述信息、按照相关的法律法规对其得到的受试者健康和医疗信息予以保密、正确地告知受试者收集和处理他们的个人信息、允许受试者合理地获得自己的个人信息并且保护受试者的信息不被非授权人士获得。</w:t>
      </w:r>
    </w:p>
    <w:p w14:paraId="598D7F26">
      <w:pPr>
        <w:autoSpaceDE w:val="0"/>
        <w:autoSpaceDN w:val="0"/>
        <w:adjustRightInd w:val="0"/>
        <w:spacing w:line="440" w:lineRule="exact"/>
        <w:jc w:val="left"/>
        <w:rPr>
          <w:rFonts w:hint="eastAsia" w:cs="ArialMT" w:asciiTheme="minorEastAsia" w:hAnsiTheme="minorEastAsia" w:eastAsiaTheme="minorEastAsia"/>
          <w:kern w:val="0"/>
          <w:sz w:val="24"/>
        </w:rPr>
      </w:pPr>
      <w:r>
        <w:rPr>
          <w:rFonts w:hint="eastAsia" w:cs="ArialMT" w:asciiTheme="minorEastAsia" w:hAnsiTheme="minorEastAsia" w:eastAsiaTheme="minorEastAsia"/>
          <w:b/>
          <w:kern w:val="0"/>
          <w:sz w:val="24"/>
        </w:rPr>
        <w:t xml:space="preserve">7.3 </w:t>
      </w:r>
      <w:r>
        <w:rPr>
          <w:rFonts w:hint="eastAsia"/>
          <w:sz w:val="24"/>
          <w:shd w:val="clear" w:color="auto" w:fill="FFFFFF"/>
        </w:rPr>
        <w:t>申办者派出的监查员和申办者委托的</w:t>
      </w:r>
      <w:r>
        <w:rPr>
          <w:rFonts w:ascii="Helvetica" w:hAnsi="Helvetica"/>
          <w:sz w:val="24"/>
          <w:shd w:val="clear" w:color="auto" w:fill="FFFFFF"/>
        </w:rPr>
        <w:t>CRC</w:t>
      </w:r>
      <w:r>
        <w:rPr>
          <w:rFonts w:hint="eastAsia"/>
          <w:sz w:val="24"/>
          <w:shd w:val="clear" w:color="auto" w:fill="FFFFFF"/>
        </w:rPr>
        <w:t>等与申办者有关的一切人员在监查、随访、数据</w:t>
      </w:r>
      <w:r>
        <w:rPr>
          <w:rFonts w:hint="eastAsia" w:cs="ArialMT" w:asciiTheme="minorEastAsia" w:hAnsiTheme="minorEastAsia" w:eastAsiaTheme="minorEastAsia"/>
          <w:kern w:val="0"/>
          <w:sz w:val="24"/>
        </w:rPr>
        <w:t>审核等一切活动中不得对原始数据的篡改、修改、修饰等，如有违反，申办者将承担相关法律责任。</w:t>
      </w:r>
    </w:p>
    <w:p w14:paraId="2453C606">
      <w:pPr>
        <w:autoSpaceDE w:val="0"/>
        <w:autoSpaceDN w:val="0"/>
        <w:adjustRightInd w:val="0"/>
        <w:spacing w:line="440" w:lineRule="exact"/>
        <w:jc w:val="left"/>
        <w:rPr>
          <w:rFonts w:hint="eastAsia" w:cs="F1" w:asciiTheme="minorEastAsia" w:hAnsiTheme="minorEastAsia" w:eastAsiaTheme="minorEastAsia"/>
          <w:kern w:val="0"/>
          <w:sz w:val="24"/>
        </w:rPr>
      </w:pPr>
      <w:r>
        <w:rPr>
          <w:rFonts w:hint="eastAsia" w:cs="ArialMT" w:asciiTheme="minorEastAsia" w:hAnsiTheme="minorEastAsia" w:eastAsiaTheme="minorEastAsia"/>
          <w:b/>
          <w:kern w:val="0"/>
          <w:sz w:val="24"/>
        </w:rPr>
        <w:t xml:space="preserve">7.4 </w:t>
      </w:r>
      <w:r>
        <w:rPr>
          <w:rFonts w:hint="eastAsia" w:cs="ArialMT" w:asciiTheme="minorEastAsia" w:hAnsiTheme="minorEastAsia" w:eastAsiaTheme="minorEastAsia"/>
          <w:kern w:val="0"/>
          <w:sz w:val="24"/>
        </w:rPr>
        <w:t>申办者和研究机构</w:t>
      </w:r>
      <w:r>
        <w:rPr>
          <w:rFonts w:hint="eastAsia" w:cs="F1" w:asciiTheme="minorEastAsia" w:hAnsiTheme="minorEastAsia" w:eastAsiaTheme="minorEastAsia"/>
          <w:kern w:val="0"/>
          <w:sz w:val="24"/>
        </w:rPr>
        <w:t>同意遵守本协议附件</w:t>
      </w:r>
      <w:r>
        <w:rPr>
          <w:rFonts w:cs="ArialMT" w:asciiTheme="minorEastAsia" w:hAnsiTheme="minorEastAsia" w:eastAsiaTheme="minorEastAsia"/>
          <w:kern w:val="0"/>
          <w:sz w:val="24"/>
        </w:rPr>
        <w:t>C</w:t>
      </w:r>
      <w:r>
        <w:rPr>
          <w:rFonts w:hint="eastAsia" w:cs="F1" w:asciiTheme="minorEastAsia" w:hAnsiTheme="minorEastAsia" w:eastAsiaTheme="minorEastAsia"/>
          <w:kern w:val="0"/>
          <w:sz w:val="24"/>
        </w:rPr>
        <w:t>《廉洁服务合同》中的所有条款。</w:t>
      </w:r>
    </w:p>
    <w:p w14:paraId="3CE09944">
      <w:pPr>
        <w:autoSpaceDE w:val="0"/>
        <w:autoSpaceDN w:val="0"/>
        <w:adjustRightInd w:val="0"/>
        <w:spacing w:line="440" w:lineRule="exact"/>
        <w:jc w:val="left"/>
        <w:rPr>
          <w:rFonts w:hint="eastAsia" w:cs="F1" w:asciiTheme="minorEastAsia" w:hAnsiTheme="minorEastAsia" w:eastAsiaTheme="minorEastAsia"/>
          <w:b/>
          <w:kern w:val="0"/>
          <w:sz w:val="24"/>
        </w:rPr>
      </w:pPr>
    </w:p>
    <w:p w14:paraId="0F648B51">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8</w:t>
      </w:r>
      <w:r>
        <w:rPr>
          <w:rFonts w:cs="F4,Bold" w:asciiTheme="minorEastAsia" w:hAnsiTheme="minorEastAsia" w:eastAsiaTheme="minorEastAsia"/>
          <w:b/>
          <w:bCs/>
          <w:color w:val="000000"/>
          <w:kern w:val="0"/>
          <w:sz w:val="24"/>
          <w:u w:val="single"/>
        </w:rPr>
        <w:t>.</w:t>
      </w:r>
      <w:r>
        <w:rPr>
          <w:rFonts w:hint="eastAsia" w:cs="F4,Bold" w:asciiTheme="minorEastAsia" w:hAnsiTheme="minorEastAsia" w:eastAsiaTheme="minorEastAsia"/>
          <w:b/>
          <w:bCs/>
          <w:color w:val="000000"/>
          <w:kern w:val="0"/>
          <w:sz w:val="24"/>
          <w:u w:val="single"/>
        </w:rPr>
        <w:t>利益冲突</w:t>
      </w:r>
    </w:p>
    <w:p w14:paraId="1F414C17">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8.1</w:t>
      </w:r>
      <w:r>
        <w:rPr>
          <w:rFonts w:hint="eastAsia" w:cs="F1" w:asciiTheme="minorEastAsia" w:hAnsiTheme="minorEastAsia" w:eastAsiaTheme="minorEastAsia"/>
          <w:color w:val="000000"/>
          <w:kern w:val="0"/>
          <w:sz w:val="24"/>
        </w:rPr>
        <w:t xml:space="preserve"> 研究机构及主要研究者同意向申办者提供遵守任何相关的管理当局所强制要求的财务公开所必须的信息。</w:t>
      </w:r>
    </w:p>
    <w:p w14:paraId="2710C189">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8.2</w:t>
      </w:r>
      <w:r>
        <w:rPr>
          <w:rFonts w:hint="eastAsia" w:cs="F1" w:asciiTheme="minorEastAsia" w:hAnsiTheme="minorEastAsia" w:eastAsiaTheme="minorEastAsia"/>
          <w:color w:val="000000"/>
          <w:kern w:val="0"/>
          <w:sz w:val="24"/>
        </w:rPr>
        <w:t xml:space="preserve"> 如果在履行本协议期间产生了任何利益冲突，研究机构及主要研究者应及时通知申办者。</w:t>
      </w:r>
    </w:p>
    <w:p w14:paraId="48DD5A91">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6EE8568C">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9</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研究经费及资源提供</w:t>
      </w:r>
    </w:p>
    <w:p w14:paraId="624D2BF3">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 xml:space="preserve">9.1 </w:t>
      </w:r>
      <w:r>
        <w:rPr>
          <w:rFonts w:hint="eastAsia" w:cs="F1" w:asciiTheme="minorEastAsia" w:hAnsiTheme="minorEastAsia" w:eastAsiaTheme="minorEastAsia"/>
          <w:color w:val="000000"/>
          <w:kern w:val="0"/>
          <w:sz w:val="24"/>
        </w:rPr>
        <w:t>申办者依照本协议附件</w:t>
      </w:r>
      <w:r>
        <w:rPr>
          <w:rFonts w:cs="ArialMT" w:asciiTheme="minorEastAsia" w:hAnsiTheme="minorEastAsia" w:eastAsiaTheme="minorEastAsia"/>
          <w:color w:val="000000"/>
          <w:kern w:val="0"/>
          <w:sz w:val="24"/>
        </w:rPr>
        <w:t>B</w:t>
      </w:r>
      <w:r>
        <w:rPr>
          <w:rFonts w:hint="eastAsia" w:cs="F1" w:asciiTheme="minorEastAsia" w:hAnsiTheme="minorEastAsia" w:eastAsiaTheme="minorEastAsia"/>
          <w:color w:val="000000"/>
          <w:kern w:val="0"/>
          <w:sz w:val="24"/>
        </w:rPr>
        <w:t>《预算及付款计划》的规定向研究机构支付研究费用。方应就申办者支付的所有费用向申办者开具等额的正式票据。</w:t>
      </w:r>
    </w:p>
    <w:p w14:paraId="459BE31E">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 xml:space="preserve">9.2 </w:t>
      </w:r>
      <w:r>
        <w:rPr>
          <w:rFonts w:hint="eastAsia" w:cs="F1" w:asciiTheme="minorEastAsia" w:hAnsiTheme="minorEastAsia" w:eastAsiaTheme="minorEastAsia"/>
          <w:color w:val="000000"/>
          <w:kern w:val="0"/>
          <w:sz w:val="24"/>
        </w:rPr>
        <w:t>协议双方了解并同意由申办者根据本协议提供给研究机构的补偿代表了研究机构提供临床研究服务的市场公允价值，数额是按照公平交易的原则协商确定的。</w:t>
      </w:r>
    </w:p>
    <w:p w14:paraId="0864C793">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 xml:space="preserve">9.3 </w:t>
      </w:r>
      <w:r>
        <w:rPr>
          <w:rFonts w:hint="eastAsia" w:cs="F1" w:asciiTheme="minorEastAsia" w:hAnsiTheme="minorEastAsia" w:eastAsiaTheme="minorEastAsia"/>
          <w:color w:val="000000"/>
          <w:kern w:val="0"/>
          <w:sz w:val="24"/>
        </w:rPr>
        <w:t>申办者应于研究开始前确认研究机构药物保存条件要求的符合程度。</w:t>
      </w:r>
      <w:r>
        <w:rPr>
          <w:rFonts w:hint="eastAsia" w:cs="F1" w:asciiTheme="minorEastAsia" w:hAnsiTheme="minorEastAsia" w:eastAsiaTheme="minorEastAsia"/>
          <w:kern w:val="0"/>
          <w:sz w:val="24"/>
        </w:rPr>
        <w:t>研究机构、主要研究者和药品管理员应妥善保存研究药物及对研究药物进行接收、使用及处置的记录。如主要研究者和药品管理员发现任何差错应及时报告申办者，申办者应及时协助处理相关问题。</w:t>
      </w:r>
    </w:p>
    <w:p w14:paraId="1D49056E">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ArialMT" w:asciiTheme="minorEastAsia" w:hAnsiTheme="minorEastAsia" w:eastAsiaTheme="minorEastAsia"/>
          <w:b/>
          <w:color w:val="000000"/>
          <w:kern w:val="0"/>
          <w:sz w:val="24"/>
        </w:rPr>
        <w:t xml:space="preserve">9.4 </w:t>
      </w:r>
      <w:r>
        <w:rPr>
          <w:rFonts w:hint="eastAsia" w:cs="F1" w:asciiTheme="minorEastAsia" w:hAnsiTheme="minorEastAsia" w:eastAsiaTheme="minorEastAsia"/>
          <w:color w:val="000000"/>
          <w:kern w:val="0"/>
          <w:sz w:val="24"/>
        </w:rPr>
        <w:t>为了确保参与临床研究的各方对临床研究方案及其要求有清晰的理解，研究机构同意主要研究者及临床研究护士</w:t>
      </w:r>
      <w:r>
        <w:rPr>
          <w:rFonts w:cs="ArialMT" w:asciiTheme="minorEastAsia" w:hAnsiTheme="minorEastAsia" w:eastAsiaTheme="minorEastAsia"/>
          <w:color w:val="000000"/>
          <w:kern w:val="0"/>
          <w:sz w:val="24"/>
        </w:rPr>
        <w:t>/</w:t>
      </w:r>
      <w:r>
        <w:rPr>
          <w:rFonts w:hint="eastAsia" w:cs="F1" w:asciiTheme="minorEastAsia" w:hAnsiTheme="minorEastAsia" w:eastAsiaTheme="minorEastAsia"/>
          <w:color w:val="000000"/>
          <w:kern w:val="0"/>
          <w:sz w:val="24"/>
        </w:rPr>
        <w:t>协调员参加申办者组织的临床试验相关会议和培训。</w:t>
      </w:r>
    </w:p>
    <w:p w14:paraId="15621B30">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6FB9CC30">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10</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补（赔）偿责任</w:t>
      </w:r>
    </w:p>
    <w:p w14:paraId="45DB3FC7">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10.1</w:t>
      </w:r>
      <w:r>
        <w:rPr>
          <w:rFonts w:hint="eastAsia" w:cs="F1" w:asciiTheme="minorEastAsia" w:hAnsiTheme="minorEastAsia" w:eastAsiaTheme="minorEastAsia"/>
          <w:color w:val="000000"/>
          <w:kern w:val="0"/>
          <w:sz w:val="24"/>
        </w:rPr>
        <w:t xml:space="preserve"> 申办者应承担在试验中发生与试验相关的损害或死亡的受试者的治疗费用及相应的经济补偿。申办者应向研究机构及研究者提供法律上与经济上的担保，避免研究机构及研究者因参加临床研究遭受的损失、成本和费用。但经医学会鉴定为医疗事故所致者除外。</w:t>
      </w:r>
    </w:p>
    <w:p w14:paraId="072A9654">
      <w:pPr>
        <w:spacing w:line="440" w:lineRule="exact"/>
        <w:rPr>
          <w:rFonts w:hint="eastAsia" w:cs="F1" w:asciiTheme="minorEastAsia" w:hAnsiTheme="minorEastAsia" w:eastAsiaTheme="minorEastAsia"/>
          <w:color w:val="000000"/>
          <w:kern w:val="0"/>
          <w:sz w:val="24"/>
        </w:rPr>
      </w:pPr>
      <w:r>
        <w:rPr>
          <w:rFonts w:hint="eastAsia" w:cs="F1" w:asciiTheme="minorEastAsia" w:hAnsiTheme="minorEastAsia" w:eastAsiaTheme="minorEastAsia"/>
          <w:b/>
          <w:color w:val="000000"/>
          <w:kern w:val="0"/>
          <w:sz w:val="24"/>
        </w:rPr>
        <w:t>10.2</w:t>
      </w:r>
      <w:r>
        <w:rPr>
          <w:rFonts w:hint="eastAsia" w:cs="F1" w:asciiTheme="minorEastAsia" w:hAnsiTheme="minorEastAsia" w:eastAsiaTheme="minorEastAsia"/>
          <w:color w:val="000000"/>
          <w:kern w:val="0"/>
          <w:sz w:val="24"/>
        </w:rPr>
        <w:t xml:space="preserve"> 受试者发生与临床试验相关的损害，申办者要按照受试者就诊医疗机构的付款要求及时支付医疗费，不得妨碍、延误受试者的治疗，若因申办者不能及时妥善处理受试者相关损害事宜，导致的研究者、合作研究者以及他们的受托人、职员、代理人和雇员出现与试验相关的伤害、纠纷及法律责任也全部由申办者承担。</w:t>
      </w:r>
    </w:p>
    <w:p w14:paraId="07D5D09D">
      <w:pPr>
        <w:spacing w:line="440" w:lineRule="exact"/>
        <w:rPr>
          <w:rFonts w:hint="eastAsia" w:cs="F1" w:asciiTheme="minorEastAsia" w:hAnsiTheme="minorEastAsia" w:eastAsiaTheme="minorEastAsia"/>
          <w:kern w:val="0"/>
          <w:sz w:val="24"/>
        </w:rPr>
      </w:pPr>
    </w:p>
    <w:p w14:paraId="30B0BE13">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11 相关信息披露</w:t>
      </w:r>
    </w:p>
    <w:p w14:paraId="0778AABC">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研究机构和研究者了解申办者可能被要求披露有关向研究机构或研究者提供补偿或其他报酬的信息。申办者可能应法律要求，或自愿披露或公开与本协议项下提供报酬相关的信息。</w:t>
      </w:r>
    </w:p>
    <w:p w14:paraId="3B3A9AE1">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52548680">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1</w:t>
      </w:r>
      <w:r>
        <w:rPr>
          <w:rFonts w:hint="eastAsia" w:cs="F4,Bold" w:asciiTheme="minorEastAsia" w:hAnsiTheme="minorEastAsia" w:eastAsiaTheme="minorEastAsia"/>
          <w:b/>
          <w:bCs/>
          <w:color w:val="000000"/>
          <w:kern w:val="0"/>
          <w:sz w:val="24"/>
          <w:u w:val="single"/>
        </w:rPr>
        <w:t>2</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独立缔约方</w:t>
      </w:r>
    </w:p>
    <w:p w14:paraId="0FB8B166">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研究机构及主要研究者以独立缔约人的身份进行临床研究，而不是以申办者的职员或代理商的身份。任何一方不得向另外一方索要报酬、假期工资、病退、退休福利、社会福利、工人补贴、伤残或失业补贴或任意类型的职员福利待遇。</w:t>
      </w:r>
    </w:p>
    <w:p w14:paraId="3B7A41D0">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5C3BA566">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1</w:t>
      </w:r>
      <w:r>
        <w:rPr>
          <w:rFonts w:hint="eastAsia" w:cs="F4,Bold" w:asciiTheme="minorEastAsia" w:hAnsiTheme="minorEastAsia" w:eastAsiaTheme="minorEastAsia"/>
          <w:b/>
          <w:bCs/>
          <w:color w:val="000000"/>
          <w:kern w:val="0"/>
          <w:sz w:val="24"/>
          <w:u w:val="single"/>
        </w:rPr>
        <w:t>3</w:t>
      </w:r>
      <w:r>
        <w:rPr>
          <w:rFonts w:cs="F4,Bold" w:asciiTheme="minorEastAsia" w:hAnsiTheme="minorEastAsia" w:eastAsiaTheme="minorEastAsia"/>
          <w:b/>
          <w:bCs/>
          <w:color w:val="000000"/>
          <w:kern w:val="0"/>
          <w:sz w:val="24"/>
          <w:u w:val="single"/>
        </w:rPr>
        <w:t>.</w:t>
      </w:r>
      <w:r>
        <w:rPr>
          <w:rFonts w:hint="eastAsia" w:cs="F4,Bold" w:asciiTheme="minorEastAsia" w:hAnsiTheme="minorEastAsia" w:eastAsiaTheme="minorEastAsia"/>
          <w:b/>
          <w:bCs/>
          <w:color w:val="000000"/>
          <w:kern w:val="0"/>
          <w:sz w:val="24"/>
          <w:u w:val="single"/>
        </w:rPr>
        <w:t>公开</w:t>
      </w:r>
    </w:p>
    <w:p w14:paraId="774515EA">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在没有得到对方事先书面同意的情况下，任何一方不能出于推广目的使用对方的名称。</w:t>
      </w:r>
    </w:p>
    <w:p w14:paraId="3066A65F">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6D0967CC">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1</w:t>
      </w:r>
      <w:r>
        <w:rPr>
          <w:rFonts w:hint="eastAsia" w:cs="F4,Bold" w:asciiTheme="minorEastAsia" w:hAnsiTheme="minorEastAsia" w:eastAsiaTheme="minorEastAsia"/>
          <w:b/>
          <w:bCs/>
          <w:color w:val="000000"/>
          <w:kern w:val="0"/>
          <w:sz w:val="24"/>
          <w:u w:val="single"/>
        </w:rPr>
        <w:t>4</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通知</w:t>
      </w:r>
    </w:p>
    <w:p w14:paraId="1CDFDC6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本协议下提到的任何通知都以预付邮资的邮件、传真或者个人递送的方式进行处理，地址如下：</w:t>
      </w:r>
    </w:p>
    <w:p w14:paraId="5317D082">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XXX公司</w:t>
      </w:r>
    </w:p>
    <w:p w14:paraId="53A6EAAF">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地址：</w:t>
      </w:r>
    </w:p>
    <w:p w14:paraId="45862526">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邮编：</w:t>
      </w:r>
    </w:p>
    <w:p w14:paraId="464BFA05">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电话：</w:t>
      </w:r>
    </w:p>
    <w:p w14:paraId="6BC37C23">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邮箱：</w:t>
      </w:r>
    </w:p>
    <w:p w14:paraId="457E4140">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联系人：</w:t>
      </w:r>
    </w:p>
    <w:p w14:paraId="179A1BE1">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p>
    <w:p w14:paraId="0E2C423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中国医学科学院血液病医院（中国医学科学院血液学研究所）</w:t>
      </w:r>
    </w:p>
    <w:p w14:paraId="52F5B3D0">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地址：</w:t>
      </w:r>
    </w:p>
    <w:p w14:paraId="37001F5C">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邮编：</w:t>
      </w:r>
    </w:p>
    <w:p w14:paraId="1ABFDC5F">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电话：</w:t>
      </w:r>
    </w:p>
    <w:p w14:paraId="4D75FB15">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邮箱：</w:t>
      </w:r>
    </w:p>
    <w:p w14:paraId="422E34E9">
      <w:pPr>
        <w:autoSpaceDE w:val="0"/>
        <w:autoSpaceDN w:val="0"/>
        <w:adjustRightInd w:val="0"/>
        <w:spacing w:line="440" w:lineRule="exact"/>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联系人：PI姓名</w:t>
      </w:r>
    </w:p>
    <w:p w14:paraId="01B0B826">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739533B0">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1</w:t>
      </w:r>
      <w:r>
        <w:rPr>
          <w:rFonts w:hint="eastAsia" w:cs="F4,Bold" w:asciiTheme="minorEastAsia" w:hAnsiTheme="minorEastAsia" w:eastAsiaTheme="minorEastAsia"/>
          <w:b/>
          <w:bCs/>
          <w:color w:val="000000"/>
          <w:kern w:val="0"/>
          <w:sz w:val="24"/>
          <w:u w:val="single"/>
        </w:rPr>
        <w:t>5</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不可抗力</w:t>
      </w:r>
    </w:p>
    <w:p w14:paraId="3DECD562">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若一方因其合理控制外的原因（例如不可抗力、爆炸、疫病、天气、战争、恐怖主义、暴动、罢工、暴乱或电力故障），使其对本协议的全部或部分履行被妨碍、限制、干预或延误，则该方应在书面通知另一方后，在上述对本协议的妨碍、限制、干预或延误的范围内，免于履行本协议，该方免于履行本协议的前提是，其应当尽最大努力避免或消除上述使其无法履行本协议的因素，并且应当在上述因素被消除时尽快恢复履行本协议。</w:t>
      </w:r>
    </w:p>
    <w:p w14:paraId="41C2F77A">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6F9CEC38">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1</w:t>
      </w:r>
      <w:r>
        <w:rPr>
          <w:rFonts w:hint="eastAsia" w:cs="F4,Bold" w:asciiTheme="minorEastAsia" w:hAnsiTheme="minorEastAsia" w:eastAsiaTheme="minorEastAsia"/>
          <w:b/>
          <w:bCs/>
          <w:color w:val="000000"/>
          <w:kern w:val="0"/>
          <w:sz w:val="24"/>
          <w:u w:val="single"/>
        </w:rPr>
        <w:t>6</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协议修改</w:t>
      </w:r>
    </w:p>
    <w:p w14:paraId="721F0592">
      <w:pPr>
        <w:autoSpaceDE w:val="0"/>
        <w:autoSpaceDN w:val="0"/>
        <w:adjustRightInd w:val="0"/>
        <w:spacing w:line="440" w:lineRule="exact"/>
        <w:ind w:firstLine="480" w:firstLineChars="200"/>
        <w:jc w:val="left"/>
        <w:rPr>
          <w:rFonts w:hint="eastAsia" w:cs="F1" w:asciiTheme="minorEastAsia" w:hAnsiTheme="minorEastAsia" w:eastAsiaTheme="minorEastAsia"/>
          <w:kern w:val="0"/>
          <w:sz w:val="24"/>
        </w:rPr>
      </w:pPr>
      <w:r>
        <w:rPr>
          <w:rFonts w:hint="eastAsia" w:cs="F1" w:asciiTheme="minorEastAsia" w:hAnsiTheme="minorEastAsia" w:eastAsiaTheme="minorEastAsia"/>
          <w:kern w:val="0"/>
          <w:sz w:val="24"/>
        </w:rPr>
        <w:t>本协议签订后，涉及入组受试者例数改变，可以由主要研究者向伦理委员会提交病例数变化的情况说明，最终结算以实际筛选和入组受试者实际发生费用为准，不再另行签署补充协议。其他方面的变更、增补或修改，均须双方签署的书面文件。</w:t>
      </w:r>
    </w:p>
    <w:p w14:paraId="2B259B2A">
      <w:pPr>
        <w:autoSpaceDE w:val="0"/>
        <w:autoSpaceDN w:val="0"/>
        <w:adjustRightInd w:val="0"/>
        <w:spacing w:line="440" w:lineRule="exact"/>
        <w:ind w:firstLine="480" w:firstLineChars="200"/>
        <w:jc w:val="left"/>
        <w:rPr>
          <w:rFonts w:hint="eastAsia" w:cs="F1" w:asciiTheme="minorEastAsia" w:hAnsiTheme="minorEastAsia" w:eastAsiaTheme="minorEastAsia"/>
          <w:color w:val="FF0000"/>
          <w:kern w:val="0"/>
          <w:sz w:val="24"/>
        </w:rPr>
      </w:pPr>
    </w:p>
    <w:p w14:paraId="5CBE6E1A">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17</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与临床研究方案的冲突</w:t>
      </w:r>
    </w:p>
    <w:p w14:paraId="1092BF1A">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若本协议的规定与临床研究方案有任何冲突，在涉及到药品、科学及临床研究的进行时，以临床研究方案为准。</w:t>
      </w:r>
    </w:p>
    <w:p w14:paraId="68BA123F">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455AF7DE">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18</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争议解决</w:t>
      </w:r>
    </w:p>
    <w:p w14:paraId="53FD609C">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关于此协议的任何争议应通过协商解决，若协议各方不能协商一致，任何一方均有权向合同签订地人民法院提起诉讼，合同签订地为天津市和平区。</w:t>
      </w:r>
    </w:p>
    <w:p w14:paraId="428671D2">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3A701052">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hint="eastAsia" w:cs="F4,Bold" w:asciiTheme="minorEastAsia" w:hAnsiTheme="minorEastAsia" w:eastAsiaTheme="minorEastAsia"/>
          <w:b/>
          <w:bCs/>
          <w:color w:val="000000"/>
          <w:kern w:val="0"/>
          <w:sz w:val="24"/>
          <w:u w:val="single"/>
        </w:rPr>
        <w:t>19</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存续条款</w:t>
      </w:r>
    </w:p>
    <w:p w14:paraId="782EF6D9">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双方意图在本协议终止后使之继续有效的权利与义务（包括但不限于与所有权、专利、保密及赔偿相关的权利），应当在本协议终止后继续有效。</w:t>
      </w:r>
    </w:p>
    <w:p w14:paraId="3CC0D39A">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4C827CA8">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2</w:t>
      </w:r>
      <w:r>
        <w:rPr>
          <w:rFonts w:hint="eastAsia" w:cs="F4,Bold" w:asciiTheme="minorEastAsia" w:hAnsiTheme="minorEastAsia" w:eastAsiaTheme="minorEastAsia"/>
          <w:b/>
          <w:bCs/>
          <w:color w:val="000000"/>
          <w:kern w:val="0"/>
          <w:sz w:val="24"/>
          <w:u w:val="single"/>
        </w:rPr>
        <w:t>0</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完整协议</w:t>
      </w:r>
    </w:p>
    <w:p w14:paraId="44F51E56">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本协议取代双方先前的所有书面或口头的谅解、协议及陈述。</w:t>
      </w:r>
    </w:p>
    <w:p w14:paraId="0A9992E6">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p>
    <w:p w14:paraId="40A54A3C">
      <w:pPr>
        <w:autoSpaceDE w:val="0"/>
        <w:autoSpaceDN w:val="0"/>
        <w:adjustRightInd w:val="0"/>
        <w:spacing w:line="440" w:lineRule="exact"/>
        <w:jc w:val="left"/>
        <w:rPr>
          <w:rFonts w:hint="eastAsia" w:cs="F4,Bold" w:asciiTheme="minorEastAsia" w:hAnsiTheme="minorEastAsia" w:eastAsiaTheme="minorEastAsia"/>
          <w:b/>
          <w:bCs/>
          <w:color w:val="000000"/>
          <w:kern w:val="0"/>
          <w:sz w:val="24"/>
          <w:u w:val="single"/>
        </w:rPr>
      </w:pPr>
      <w:r>
        <w:rPr>
          <w:rFonts w:cs="F4,Bold" w:asciiTheme="minorEastAsia" w:hAnsiTheme="minorEastAsia" w:eastAsiaTheme="minorEastAsia"/>
          <w:b/>
          <w:bCs/>
          <w:color w:val="000000"/>
          <w:kern w:val="0"/>
          <w:sz w:val="24"/>
          <w:u w:val="single"/>
        </w:rPr>
        <w:t>2</w:t>
      </w:r>
      <w:r>
        <w:rPr>
          <w:rFonts w:hint="eastAsia" w:cs="F4,Bold" w:asciiTheme="minorEastAsia" w:hAnsiTheme="minorEastAsia" w:eastAsiaTheme="minorEastAsia"/>
          <w:b/>
          <w:bCs/>
          <w:color w:val="000000"/>
          <w:kern w:val="0"/>
          <w:sz w:val="24"/>
          <w:u w:val="single"/>
        </w:rPr>
        <w:t>1</w:t>
      </w:r>
      <w:r>
        <w:rPr>
          <w:rFonts w:cs="F4,Bold" w:asciiTheme="minorEastAsia" w:hAnsiTheme="minorEastAsia" w:eastAsiaTheme="minorEastAsia"/>
          <w:b/>
          <w:bCs/>
          <w:color w:val="000000"/>
          <w:kern w:val="0"/>
          <w:sz w:val="24"/>
          <w:u w:val="single"/>
        </w:rPr>
        <w:t xml:space="preserve">. </w:t>
      </w:r>
      <w:r>
        <w:rPr>
          <w:rFonts w:hint="eastAsia" w:cs="F4,Bold" w:asciiTheme="minorEastAsia" w:hAnsiTheme="minorEastAsia" w:eastAsiaTheme="minorEastAsia"/>
          <w:b/>
          <w:bCs/>
          <w:color w:val="000000"/>
          <w:kern w:val="0"/>
          <w:sz w:val="24"/>
          <w:u w:val="single"/>
        </w:rPr>
        <w:t>授权代表</w:t>
      </w:r>
    </w:p>
    <w:p w14:paraId="201DC0FB">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本协议的各签字人在此确认，其有权分别代表各方签署本协议，并对各方产生法律约束力。</w:t>
      </w:r>
    </w:p>
    <w:p w14:paraId="30812737">
      <w:pPr>
        <w:autoSpaceDE w:val="0"/>
        <w:autoSpaceDN w:val="0"/>
        <w:adjustRightInd w:val="0"/>
        <w:spacing w:line="440" w:lineRule="exact"/>
        <w:ind w:firstLine="480" w:firstLineChars="200"/>
        <w:jc w:val="left"/>
        <w:rPr>
          <w:rFonts w:hint="eastAsia" w:cs="F1"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本协议以中文书写，本协议经双方授权代表签字并加盖各自公章或合同章后生效。本协议一式【4】份，申办者执【</w:t>
      </w:r>
      <w:r>
        <w:rPr>
          <w:rFonts w:cs="F1" w:asciiTheme="minorEastAsia" w:hAnsiTheme="minorEastAsia" w:eastAsiaTheme="minorEastAsia"/>
          <w:color w:val="000000"/>
          <w:kern w:val="0"/>
          <w:sz w:val="24"/>
        </w:rPr>
        <w:t>2</w:t>
      </w:r>
      <w:r>
        <w:rPr>
          <w:rFonts w:hint="eastAsia" w:cs="F1" w:asciiTheme="minorEastAsia" w:hAnsiTheme="minorEastAsia" w:eastAsiaTheme="minorEastAsia"/>
          <w:color w:val="000000"/>
          <w:kern w:val="0"/>
          <w:sz w:val="24"/>
        </w:rPr>
        <w:t>】份，研究机构执【</w:t>
      </w:r>
      <w:r>
        <w:rPr>
          <w:rFonts w:cs="F1" w:asciiTheme="minorEastAsia" w:hAnsiTheme="minorEastAsia" w:eastAsiaTheme="minorEastAsia"/>
          <w:color w:val="000000"/>
          <w:kern w:val="0"/>
          <w:sz w:val="24"/>
        </w:rPr>
        <w:t>2</w:t>
      </w:r>
      <w:r>
        <w:rPr>
          <w:rFonts w:hint="eastAsia" w:cs="F1" w:asciiTheme="minorEastAsia" w:hAnsiTheme="minorEastAsia" w:eastAsiaTheme="minorEastAsia"/>
          <w:color w:val="000000"/>
          <w:kern w:val="0"/>
          <w:sz w:val="24"/>
        </w:rPr>
        <w:t>】份。</w:t>
      </w:r>
    </w:p>
    <w:p w14:paraId="65CA2E23">
      <w:pPr>
        <w:widowControl/>
        <w:jc w:val="left"/>
        <w:rPr>
          <w:rFonts w:hint="eastAsia" w:cs="F4,Bold" w:asciiTheme="minorEastAsia" w:hAnsiTheme="minorEastAsia" w:eastAsiaTheme="minorEastAsia"/>
          <w:b/>
          <w:bCs/>
          <w:color w:val="000000"/>
          <w:kern w:val="0"/>
          <w:sz w:val="24"/>
        </w:rPr>
      </w:pPr>
    </w:p>
    <w:p w14:paraId="1858E7A8">
      <w:pPr>
        <w:widowControl/>
        <w:jc w:val="left"/>
        <w:rPr>
          <w:rFonts w:hint="eastAsia" w:cs="F4,Bold" w:asciiTheme="minorEastAsia" w:hAnsiTheme="minorEastAsia" w:eastAsiaTheme="minorEastAsia"/>
          <w:b/>
          <w:bCs/>
          <w:color w:val="000000"/>
          <w:kern w:val="0"/>
          <w:sz w:val="24"/>
        </w:rPr>
      </w:pPr>
      <w:r>
        <w:rPr>
          <w:rFonts w:hint="eastAsia" w:cs="F4,Bold" w:asciiTheme="minorEastAsia" w:hAnsiTheme="minorEastAsia" w:eastAsiaTheme="minorEastAsia"/>
          <w:b/>
          <w:bCs/>
          <w:color w:val="000000"/>
          <w:kern w:val="0"/>
          <w:sz w:val="24"/>
        </w:rPr>
        <w:t>（本页以下空白）</w:t>
      </w:r>
    </w:p>
    <w:p w14:paraId="25BBE3EF">
      <w:pPr>
        <w:widowControl/>
        <w:jc w:val="left"/>
        <w:rPr>
          <w:rFonts w:hint="eastAsia" w:cs="F4,Bold" w:asciiTheme="minorEastAsia" w:hAnsiTheme="minorEastAsia" w:eastAsiaTheme="minorEastAsia"/>
          <w:b/>
          <w:bCs/>
          <w:color w:val="000000"/>
          <w:kern w:val="0"/>
          <w:sz w:val="24"/>
        </w:rPr>
      </w:pPr>
      <w:r>
        <w:rPr>
          <w:rFonts w:cs="F4,Bold" w:asciiTheme="minorEastAsia" w:hAnsiTheme="minorEastAsia" w:eastAsiaTheme="minorEastAsia"/>
          <w:b/>
          <w:bCs/>
          <w:color w:val="000000"/>
          <w:kern w:val="0"/>
          <w:sz w:val="24"/>
        </w:rPr>
        <w:br w:type="page"/>
      </w:r>
    </w:p>
    <w:p w14:paraId="342421BD">
      <w:pPr>
        <w:widowControl/>
        <w:jc w:val="left"/>
        <w:rPr>
          <w:rFonts w:hint="eastAsia" w:cs="F4,Bold" w:asciiTheme="minorEastAsia" w:hAnsiTheme="minorEastAsia" w:eastAsiaTheme="minorEastAsia"/>
          <w:b/>
          <w:bCs/>
          <w:color w:val="000000"/>
          <w:kern w:val="0"/>
          <w:sz w:val="24"/>
        </w:rPr>
      </w:pPr>
      <w:r>
        <w:rPr>
          <w:rFonts w:hint="eastAsia" w:cs="F4,Bold" w:asciiTheme="minorEastAsia" w:hAnsiTheme="minorEastAsia" w:eastAsiaTheme="minorEastAsia"/>
          <w:b/>
          <w:bCs/>
          <w:color w:val="000000"/>
          <w:kern w:val="0"/>
          <w:sz w:val="24"/>
        </w:rPr>
        <w:t>签署页</w:t>
      </w:r>
    </w:p>
    <w:p w14:paraId="692F284C">
      <w:pPr>
        <w:widowControl/>
        <w:jc w:val="left"/>
        <w:rPr>
          <w:rFonts w:hint="eastAsia" w:cs="F4,Bold" w:asciiTheme="minorEastAsia" w:hAnsiTheme="minorEastAsia" w:eastAsiaTheme="minorEastAsia"/>
          <w:b/>
          <w:bCs/>
          <w:color w:val="000000"/>
          <w:kern w:val="0"/>
          <w:sz w:val="24"/>
        </w:rPr>
      </w:pPr>
    </w:p>
    <w:p w14:paraId="17AD2E32">
      <w:pPr>
        <w:widowControl/>
        <w:jc w:val="left"/>
        <w:rPr>
          <w:rFonts w:hint="eastAsia" w:cs="F4,Bold" w:asciiTheme="minorEastAsia" w:hAnsiTheme="minorEastAsia" w:eastAsiaTheme="minorEastAsia"/>
          <w:b/>
          <w:bCs/>
          <w:color w:val="000000"/>
          <w:kern w:val="0"/>
          <w:sz w:val="24"/>
        </w:rPr>
      </w:pPr>
    </w:p>
    <w:p w14:paraId="5129E73E">
      <w:pPr>
        <w:autoSpaceDE w:val="0"/>
        <w:autoSpaceDN w:val="0"/>
        <w:adjustRightInd w:val="0"/>
        <w:spacing w:line="440" w:lineRule="exact"/>
        <w:jc w:val="left"/>
        <w:rPr>
          <w:rFonts w:hint="eastAsia" w:cs="F4,Bold" w:asciiTheme="minorEastAsia" w:hAnsiTheme="minorEastAsia" w:eastAsiaTheme="minorEastAsia"/>
          <w:b/>
          <w:bCs/>
          <w:color w:val="000000"/>
          <w:kern w:val="0"/>
          <w:sz w:val="24"/>
        </w:rPr>
      </w:pPr>
      <w:r>
        <w:rPr>
          <w:rFonts w:hint="eastAsia" w:cs="F4,Bold" w:asciiTheme="minorEastAsia" w:hAnsiTheme="minorEastAsia" w:eastAsiaTheme="minorEastAsia"/>
          <w:b/>
          <w:bCs/>
          <w:color w:val="000000"/>
          <w:kern w:val="0"/>
          <w:sz w:val="24"/>
        </w:rPr>
        <w:t>申办者：XXX公司</w:t>
      </w:r>
    </w:p>
    <w:p w14:paraId="0EC2DF09">
      <w:pPr>
        <w:autoSpaceDE w:val="0"/>
        <w:autoSpaceDN w:val="0"/>
        <w:adjustRightInd w:val="0"/>
        <w:spacing w:line="440" w:lineRule="exact"/>
        <w:jc w:val="left"/>
        <w:rPr>
          <w:rFonts w:hint="eastAsia" w:cs="F1" w:asciiTheme="minorEastAsia" w:hAnsiTheme="minorEastAsia" w:eastAsiaTheme="minorEastAsia"/>
          <w:color w:val="000000"/>
          <w:kern w:val="0"/>
          <w:sz w:val="24"/>
        </w:rPr>
      </w:pPr>
    </w:p>
    <w:p w14:paraId="4F99041F">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法人代表或授权人签名</w:t>
      </w:r>
      <w:r>
        <w:rPr>
          <w:rFonts w:cs="ArialMT" w:asciiTheme="minorEastAsia" w:hAnsiTheme="minorEastAsia" w:eastAsiaTheme="minorEastAsia"/>
          <w:color w:val="000000"/>
          <w:kern w:val="0"/>
          <w:sz w:val="24"/>
        </w:rPr>
        <w:t xml:space="preserve">___________________ </w:t>
      </w:r>
      <w:r>
        <w:rPr>
          <w:rFonts w:hint="eastAsia" w:cs="F1" w:asciiTheme="minorEastAsia" w:hAnsiTheme="minorEastAsia" w:eastAsiaTheme="minorEastAsia"/>
          <w:color w:val="000000"/>
          <w:kern w:val="0"/>
          <w:sz w:val="24"/>
        </w:rPr>
        <w:t>日期</w:t>
      </w:r>
      <w:r>
        <w:rPr>
          <w:rFonts w:cs="ArialMT" w:asciiTheme="minorEastAsia" w:hAnsiTheme="minorEastAsia" w:eastAsiaTheme="minorEastAsia"/>
          <w:color w:val="000000"/>
          <w:kern w:val="0"/>
          <w:sz w:val="24"/>
        </w:rPr>
        <w:t>___________________</w:t>
      </w:r>
    </w:p>
    <w:p w14:paraId="3C4007DB">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p>
    <w:p w14:paraId="135648E1">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p>
    <w:p w14:paraId="7F7A3A4A">
      <w:pPr>
        <w:autoSpaceDE w:val="0"/>
        <w:autoSpaceDN w:val="0"/>
        <w:adjustRightInd w:val="0"/>
        <w:spacing w:line="440" w:lineRule="exact"/>
        <w:jc w:val="left"/>
        <w:rPr>
          <w:rFonts w:hint="eastAsia" w:cs="ArialMT" w:asciiTheme="minorEastAsia" w:hAnsiTheme="minorEastAsia" w:eastAsiaTheme="minorEastAsia"/>
          <w:b/>
          <w:color w:val="000000"/>
          <w:kern w:val="0"/>
          <w:sz w:val="24"/>
        </w:rPr>
      </w:pPr>
      <w:r>
        <w:rPr>
          <w:rFonts w:hint="eastAsia" w:cs="ArialMT" w:asciiTheme="minorEastAsia" w:hAnsiTheme="minorEastAsia" w:eastAsiaTheme="minorEastAsia"/>
          <w:b/>
          <w:color w:val="000000"/>
          <w:kern w:val="0"/>
          <w:sz w:val="24"/>
        </w:rPr>
        <w:t>研究机构：中国医学科学院血液病医院（中国医学科学院血液学研究所）</w:t>
      </w:r>
    </w:p>
    <w:p w14:paraId="45162398">
      <w:pPr>
        <w:autoSpaceDE w:val="0"/>
        <w:autoSpaceDN w:val="0"/>
        <w:adjustRightInd w:val="0"/>
        <w:spacing w:line="440" w:lineRule="exact"/>
        <w:jc w:val="left"/>
        <w:rPr>
          <w:rFonts w:hint="eastAsia" w:cs="F4,Bold" w:asciiTheme="minorEastAsia" w:hAnsiTheme="minorEastAsia" w:eastAsiaTheme="minorEastAsia"/>
          <w:bCs/>
          <w:color w:val="000000"/>
          <w:kern w:val="0"/>
          <w:sz w:val="24"/>
        </w:rPr>
      </w:pPr>
    </w:p>
    <w:p w14:paraId="215A136D">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r>
        <w:rPr>
          <w:rFonts w:hint="eastAsia" w:cs="F4,Bold" w:asciiTheme="minorEastAsia" w:hAnsiTheme="minorEastAsia" w:eastAsiaTheme="minorEastAsia"/>
          <w:bCs/>
          <w:color w:val="000000"/>
          <w:kern w:val="0"/>
          <w:sz w:val="24"/>
        </w:rPr>
        <w:t>主要研究者</w:t>
      </w:r>
      <w:r>
        <w:rPr>
          <w:rFonts w:hint="eastAsia" w:cs="F1" w:asciiTheme="minorEastAsia" w:hAnsiTheme="minorEastAsia" w:eastAsiaTheme="minorEastAsia"/>
          <w:color w:val="000000"/>
          <w:kern w:val="0"/>
          <w:sz w:val="24"/>
        </w:rPr>
        <w:t>签名</w:t>
      </w:r>
      <w:r>
        <w:rPr>
          <w:rFonts w:cs="ArialMT" w:asciiTheme="minorEastAsia" w:hAnsiTheme="minorEastAsia" w:eastAsiaTheme="minorEastAsia"/>
          <w:color w:val="000000"/>
          <w:kern w:val="0"/>
          <w:sz w:val="24"/>
        </w:rPr>
        <w:t xml:space="preserve">_________________________ </w:t>
      </w:r>
      <w:r>
        <w:rPr>
          <w:rFonts w:hint="eastAsia" w:cs="F1" w:asciiTheme="minorEastAsia" w:hAnsiTheme="minorEastAsia" w:eastAsiaTheme="minorEastAsia"/>
          <w:color w:val="000000"/>
          <w:kern w:val="0"/>
          <w:sz w:val="24"/>
        </w:rPr>
        <w:t>日期</w:t>
      </w:r>
      <w:r>
        <w:rPr>
          <w:rFonts w:cs="ArialMT" w:asciiTheme="minorEastAsia" w:hAnsiTheme="minorEastAsia" w:eastAsiaTheme="minorEastAsia"/>
          <w:color w:val="000000"/>
          <w:kern w:val="0"/>
          <w:sz w:val="24"/>
        </w:rPr>
        <w:t>____________________</w:t>
      </w:r>
    </w:p>
    <w:p w14:paraId="17A805E1">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p>
    <w:p w14:paraId="23F654F1">
      <w:pPr>
        <w:autoSpaceDE w:val="0"/>
        <w:autoSpaceDN w:val="0"/>
        <w:adjustRightInd w:val="0"/>
        <w:spacing w:line="440" w:lineRule="exact"/>
        <w:jc w:val="left"/>
        <w:rPr>
          <w:rFonts w:hint="eastAsia" w:cs="ArialMT" w:asciiTheme="minorEastAsia" w:hAnsiTheme="minorEastAsia" w:eastAsiaTheme="minorEastAsia"/>
          <w:color w:val="000000"/>
          <w:kern w:val="0"/>
          <w:sz w:val="24"/>
        </w:rPr>
      </w:pPr>
      <w:r>
        <w:rPr>
          <w:rFonts w:hint="eastAsia" w:cs="F1" w:asciiTheme="minorEastAsia" w:hAnsiTheme="minorEastAsia" w:eastAsiaTheme="minorEastAsia"/>
          <w:color w:val="000000"/>
          <w:kern w:val="0"/>
          <w:sz w:val="24"/>
        </w:rPr>
        <w:t>法人代表或授权人签名</w:t>
      </w:r>
      <w:r>
        <w:rPr>
          <w:rFonts w:cs="ArialMT" w:asciiTheme="minorEastAsia" w:hAnsiTheme="minorEastAsia" w:eastAsiaTheme="minorEastAsia"/>
          <w:color w:val="000000"/>
          <w:kern w:val="0"/>
          <w:sz w:val="24"/>
        </w:rPr>
        <w:t xml:space="preserve">___________________ </w:t>
      </w:r>
      <w:r>
        <w:rPr>
          <w:rFonts w:hint="eastAsia" w:cs="F1" w:asciiTheme="minorEastAsia" w:hAnsiTheme="minorEastAsia" w:eastAsiaTheme="minorEastAsia"/>
          <w:color w:val="000000"/>
          <w:kern w:val="0"/>
          <w:sz w:val="24"/>
        </w:rPr>
        <w:t>日期</w:t>
      </w:r>
      <w:r>
        <w:rPr>
          <w:rFonts w:cs="F1" w:asciiTheme="minorEastAsia" w:hAnsiTheme="minorEastAsia" w:eastAsiaTheme="minorEastAsia"/>
          <w:color w:val="000000"/>
          <w:kern w:val="0"/>
          <w:sz w:val="24"/>
        </w:rPr>
        <w:t xml:space="preserve"> </w:t>
      </w:r>
      <w:r>
        <w:rPr>
          <w:rFonts w:cs="ArialMT" w:asciiTheme="minorEastAsia" w:hAnsiTheme="minorEastAsia" w:eastAsiaTheme="minorEastAsia"/>
          <w:color w:val="000000"/>
          <w:kern w:val="0"/>
          <w:sz w:val="24"/>
        </w:rPr>
        <w:t>____________________</w:t>
      </w:r>
    </w:p>
    <w:p w14:paraId="3C2570FA">
      <w:pPr>
        <w:widowControl/>
        <w:spacing w:line="400" w:lineRule="exact"/>
        <w:jc w:val="left"/>
        <w:rPr>
          <w:rFonts w:hint="eastAsia" w:cs="F4,Bold" w:asciiTheme="minorEastAsia" w:hAnsiTheme="minorEastAsia" w:eastAsiaTheme="minorEastAsia"/>
          <w:b/>
          <w:bCs/>
          <w:color w:val="000000"/>
          <w:kern w:val="0"/>
          <w:szCs w:val="21"/>
        </w:rPr>
      </w:pPr>
    </w:p>
    <w:p w14:paraId="036BEEFB">
      <w:pPr>
        <w:widowControl/>
        <w:spacing w:line="400" w:lineRule="exact"/>
        <w:jc w:val="left"/>
        <w:rPr>
          <w:rFonts w:hint="eastAsia" w:cs="F4,Bold" w:asciiTheme="minorEastAsia" w:hAnsiTheme="minorEastAsia" w:eastAsiaTheme="minorEastAsia"/>
          <w:b/>
          <w:bCs/>
          <w:color w:val="000000"/>
          <w:kern w:val="0"/>
          <w:szCs w:val="21"/>
        </w:rPr>
      </w:pPr>
    </w:p>
    <w:p w14:paraId="5EBBC396">
      <w:pPr>
        <w:widowControl/>
        <w:spacing w:line="400" w:lineRule="exact"/>
        <w:jc w:val="left"/>
        <w:rPr>
          <w:rFonts w:hint="eastAsia" w:cs="F4,Bold" w:asciiTheme="minorEastAsia" w:hAnsiTheme="minorEastAsia" w:eastAsiaTheme="minorEastAsia"/>
          <w:b/>
          <w:bCs/>
          <w:color w:val="000000"/>
          <w:kern w:val="0"/>
          <w:szCs w:val="21"/>
        </w:rPr>
      </w:pPr>
      <w:r>
        <w:rPr>
          <w:rFonts w:hint="eastAsia" w:cs="F4,Bold" w:asciiTheme="minorEastAsia" w:hAnsiTheme="minorEastAsia" w:eastAsiaTheme="minorEastAsia"/>
          <w:b/>
          <w:bCs/>
          <w:color w:val="000000"/>
          <w:kern w:val="0"/>
          <w:szCs w:val="21"/>
        </w:rPr>
        <w:t>附件：</w:t>
      </w:r>
    </w:p>
    <w:p w14:paraId="34BE570D">
      <w:pPr>
        <w:widowControl/>
        <w:spacing w:line="400" w:lineRule="exact"/>
        <w:jc w:val="left"/>
        <w:rPr>
          <w:rFonts w:hint="eastAsia" w:cs="F4,Bold" w:asciiTheme="minorEastAsia" w:hAnsiTheme="minorEastAsia" w:eastAsiaTheme="minorEastAsia"/>
          <w:b/>
          <w:bCs/>
          <w:color w:val="000000"/>
          <w:kern w:val="0"/>
          <w:szCs w:val="21"/>
        </w:rPr>
      </w:pPr>
      <w:r>
        <w:rPr>
          <w:rFonts w:hint="eastAsia" w:cs="F4,Bold" w:asciiTheme="minorEastAsia" w:hAnsiTheme="minorEastAsia" w:eastAsiaTheme="minorEastAsia"/>
          <w:b/>
          <w:bCs/>
          <w:color w:val="000000"/>
          <w:kern w:val="0"/>
          <w:szCs w:val="21"/>
        </w:rPr>
        <w:t>附件A 预算及付款计划</w:t>
      </w:r>
    </w:p>
    <w:p w14:paraId="051E4C97">
      <w:pPr>
        <w:widowControl/>
        <w:spacing w:line="400" w:lineRule="exact"/>
        <w:jc w:val="left"/>
        <w:rPr>
          <w:rFonts w:hint="eastAsia" w:cs="F4,Bold" w:asciiTheme="minorEastAsia" w:hAnsiTheme="minorEastAsia" w:eastAsiaTheme="minorEastAsia"/>
          <w:b/>
          <w:bCs/>
          <w:color w:val="000000"/>
          <w:kern w:val="0"/>
          <w:szCs w:val="21"/>
        </w:rPr>
      </w:pPr>
      <w:r>
        <w:rPr>
          <w:rFonts w:hint="eastAsia" w:cs="F4,Bold" w:asciiTheme="minorEastAsia" w:hAnsiTheme="minorEastAsia" w:eastAsiaTheme="minorEastAsia"/>
          <w:b/>
          <w:bCs/>
          <w:color w:val="000000"/>
          <w:kern w:val="0"/>
          <w:szCs w:val="21"/>
        </w:rPr>
        <w:t>附件B.中国人类遗传资源要求</w:t>
      </w:r>
    </w:p>
    <w:p w14:paraId="766CFF8A">
      <w:pPr>
        <w:widowControl/>
        <w:spacing w:line="400" w:lineRule="exact"/>
        <w:jc w:val="left"/>
        <w:rPr>
          <w:rFonts w:hint="eastAsia" w:cs="F4,Bold" w:asciiTheme="minorEastAsia" w:hAnsiTheme="minorEastAsia" w:eastAsiaTheme="minorEastAsia"/>
          <w:b/>
          <w:bCs/>
          <w:color w:val="000000"/>
          <w:kern w:val="0"/>
          <w:szCs w:val="21"/>
        </w:rPr>
      </w:pPr>
      <w:r>
        <w:rPr>
          <w:rFonts w:hint="eastAsia" w:cs="F4,Bold" w:asciiTheme="minorEastAsia" w:hAnsiTheme="minorEastAsia" w:eastAsiaTheme="minorEastAsia"/>
          <w:b/>
          <w:bCs/>
          <w:color w:val="000000"/>
          <w:kern w:val="0"/>
          <w:szCs w:val="21"/>
        </w:rPr>
        <w:t>附件C</w:t>
      </w:r>
      <w:r>
        <w:rPr>
          <w:rFonts w:cs="F4,Bold" w:asciiTheme="minorEastAsia" w:hAnsiTheme="minorEastAsia" w:eastAsiaTheme="minorEastAsia"/>
          <w:b/>
          <w:bCs/>
          <w:color w:val="000000"/>
          <w:kern w:val="0"/>
          <w:szCs w:val="21"/>
        </w:rPr>
        <w:t xml:space="preserve"> </w:t>
      </w:r>
      <w:r>
        <w:rPr>
          <w:rFonts w:hint="eastAsia" w:cs="F4,Bold" w:asciiTheme="minorEastAsia" w:hAnsiTheme="minorEastAsia" w:eastAsiaTheme="minorEastAsia"/>
          <w:b/>
          <w:bCs/>
          <w:color w:val="000000"/>
          <w:kern w:val="0"/>
          <w:szCs w:val="21"/>
        </w:rPr>
        <w:t>廉洁服务协议</w:t>
      </w:r>
    </w:p>
    <w:p w14:paraId="4E94444C">
      <w:pPr>
        <w:widowControl/>
        <w:spacing w:line="400" w:lineRule="exact"/>
        <w:jc w:val="left"/>
        <w:rPr>
          <w:rFonts w:hint="eastAsia" w:cs="F4,Bold" w:asciiTheme="minorEastAsia" w:hAnsiTheme="minorEastAsia" w:eastAsiaTheme="minorEastAsia"/>
          <w:b/>
          <w:bCs/>
          <w:color w:val="000000"/>
          <w:kern w:val="0"/>
          <w:szCs w:val="21"/>
        </w:rPr>
      </w:pPr>
    </w:p>
    <w:p w14:paraId="290CF87E">
      <w:pPr>
        <w:widowControl/>
        <w:spacing w:line="400" w:lineRule="exact"/>
        <w:jc w:val="left"/>
        <w:rPr>
          <w:rFonts w:hint="eastAsia" w:cs="F4,Bold" w:asciiTheme="minorEastAsia" w:hAnsiTheme="minorEastAsia" w:eastAsiaTheme="minorEastAsia"/>
          <w:b/>
          <w:bCs/>
          <w:color w:val="000000"/>
          <w:kern w:val="0"/>
          <w:szCs w:val="21"/>
        </w:rPr>
      </w:pPr>
      <w:r>
        <w:rPr>
          <w:rFonts w:hint="eastAsia" w:cs="F4,Bold" w:asciiTheme="minorEastAsia" w:hAnsiTheme="minorEastAsia" w:eastAsiaTheme="minorEastAsia"/>
          <w:b/>
          <w:bCs/>
          <w:color w:val="000000"/>
          <w:kern w:val="0"/>
          <w:szCs w:val="21"/>
        </w:rPr>
        <w:t>（本页以下空白）</w:t>
      </w:r>
    </w:p>
    <w:p w14:paraId="71A5CE4A">
      <w:pPr>
        <w:widowControl/>
        <w:jc w:val="left"/>
        <w:rPr>
          <w:rFonts w:hint="eastAsia" w:cs="F4,Bold" w:asciiTheme="minorEastAsia" w:hAnsiTheme="minorEastAsia" w:eastAsiaTheme="minorEastAsia"/>
          <w:b/>
          <w:bCs/>
          <w:color w:val="000000"/>
          <w:kern w:val="0"/>
          <w:szCs w:val="21"/>
        </w:rPr>
      </w:pPr>
      <w:r>
        <w:rPr>
          <w:rFonts w:cs="F4,Bold" w:asciiTheme="minorEastAsia" w:hAnsiTheme="minorEastAsia" w:eastAsiaTheme="minorEastAsia"/>
          <w:b/>
          <w:bCs/>
          <w:color w:val="000000"/>
          <w:kern w:val="0"/>
          <w:szCs w:val="21"/>
        </w:rPr>
        <w:br w:type="page"/>
      </w:r>
    </w:p>
    <w:p w14:paraId="6C4156B5">
      <w:pPr>
        <w:spacing w:line="440" w:lineRule="exact"/>
        <w:rPr>
          <w:rFonts w:asciiTheme="minorHAnsi" w:hAnsiTheme="minorHAnsi" w:cstheme="minorBidi"/>
          <w:sz w:val="22"/>
          <w:szCs w:val="22"/>
        </w:rPr>
      </w:pPr>
      <w:r>
        <w:rPr>
          <w:rFonts w:hint="eastAsia" w:cs="宋体" w:asciiTheme="minorEastAsia" w:hAnsiTheme="minorEastAsia" w:eastAsiaTheme="minorEastAsia"/>
          <w:b/>
          <w:kern w:val="0"/>
          <w:sz w:val="22"/>
          <w:szCs w:val="21"/>
        </w:rPr>
        <w:t>附件</w:t>
      </w:r>
      <w:r>
        <w:rPr>
          <w:rFonts w:hint="eastAsia" w:cs="Arial" w:asciiTheme="minorEastAsia" w:hAnsiTheme="minorEastAsia" w:eastAsiaTheme="minorEastAsia"/>
          <w:b/>
          <w:kern w:val="0"/>
          <w:sz w:val="22"/>
          <w:szCs w:val="21"/>
        </w:rPr>
        <w:t>A</w:t>
      </w:r>
      <w:r>
        <w:rPr>
          <w:rFonts w:cs="Arial" w:asciiTheme="minorEastAsia" w:hAnsiTheme="minorEastAsia" w:eastAsiaTheme="minorEastAsia"/>
          <w:b/>
          <w:kern w:val="0"/>
          <w:sz w:val="22"/>
          <w:szCs w:val="21"/>
        </w:rPr>
        <w:t xml:space="preserve"> </w:t>
      </w:r>
      <w:r>
        <w:rPr>
          <w:rFonts w:hint="eastAsia" w:cs="Arial" w:asciiTheme="minorEastAsia" w:hAnsiTheme="minorEastAsia" w:eastAsiaTheme="minorEastAsia"/>
          <w:b/>
          <w:kern w:val="0"/>
          <w:sz w:val="22"/>
          <w:szCs w:val="21"/>
        </w:rPr>
        <w:t>：</w:t>
      </w:r>
      <w:r>
        <w:rPr>
          <w:rFonts w:hint="eastAsia" w:cs="PMingLiU" w:asciiTheme="minorEastAsia" w:hAnsiTheme="minorEastAsia" w:eastAsiaTheme="minorEastAsia"/>
          <w:b/>
          <w:kern w:val="0"/>
          <w:sz w:val="22"/>
          <w:szCs w:val="21"/>
        </w:rPr>
        <w:t>预算及付款计划</w:t>
      </w:r>
      <w:r>
        <w:rPr>
          <w:rFonts w:cs="PMingLiU" w:asciiTheme="minorEastAsia" w:hAnsiTheme="minorEastAsia" w:eastAsiaTheme="minorEastAsia"/>
          <w:b/>
          <w:kern w:val="0"/>
          <w:sz w:val="22"/>
          <w:szCs w:val="21"/>
        </w:rPr>
        <w:t xml:space="preserve"> </w:t>
      </w:r>
    </w:p>
    <w:p w14:paraId="21A85172">
      <w:pPr>
        <w:pStyle w:val="13"/>
        <w:numPr>
          <w:ilvl w:val="0"/>
          <w:numId w:val="2"/>
        </w:numPr>
        <w:autoSpaceDE w:val="0"/>
        <w:autoSpaceDN w:val="0"/>
        <w:adjustRightInd w:val="0"/>
        <w:spacing w:line="440" w:lineRule="exact"/>
        <w:ind w:firstLineChars="0"/>
        <w:jc w:val="left"/>
        <w:rPr>
          <w:rFonts w:ascii="宋体" w:hAnsi="Arial" w:cs="宋体"/>
          <w:bCs/>
          <w:color w:val="000000" w:themeColor="text1"/>
          <w:kern w:val="0"/>
          <w:sz w:val="22"/>
          <w:szCs w:val="21"/>
          <w14:textFill>
            <w14:solidFill>
              <w14:schemeClr w14:val="tx1"/>
            </w14:solidFill>
          </w14:textFill>
        </w:rPr>
      </w:pPr>
      <w:r>
        <w:rPr>
          <w:rFonts w:hint="eastAsia" w:ascii="宋体" w:hAnsi="Arial" w:cs="宋体"/>
          <w:bCs/>
          <w:color w:val="000000" w:themeColor="text1"/>
          <w:kern w:val="0"/>
          <w:sz w:val="22"/>
          <w:szCs w:val="21"/>
          <w14:textFill>
            <w14:solidFill>
              <w14:schemeClr w14:val="tx1"/>
            </w14:solidFill>
          </w14:textFill>
        </w:rPr>
        <w:t>检查、化验及住院费：预计</w:t>
      </w:r>
      <w:r>
        <w:rPr>
          <w:rFonts w:hint="eastAsia" w:ascii="宋体" w:hAnsi="Arial" w:cs="宋体"/>
          <w:bCs/>
          <w:color w:val="000000" w:themeColor="text1"/>
          <w:kern w:val="0"/>
          <w:sz w:val="22"/>
          <w:szCs w:val="21"/>
          <w:u w:val="single"/>
          <w14:textFill>
            <w14:solidFill>
              <w14:schemeClr w14:val="tx1"/>
            </w14:solidFill>
          </w14:textFill>
        </w:rPr>
        <w:t xml:space="preserve">     </w:t>
      </w:r>
      <w:r>
        <w:rPr>
          <w:rFonts w:hint="eastAsia" w:ascii="宋体" w:hAnsi="Arial" w:cs="宋体"/>
          <w:bCs/>
          <w:color w:val="000000" w:themeColor="text1"/>
          <w:kern w:val="0"/>
          <w:sz w:val="22"/>
          <w:szCs w:val="21"/>
          <w14:textFill>
            <w14:solidFill>
              <w14:schemeClr w14:val="tx1"/>
            </w14:solidFill>
          </w14:textFill>
        </w:rPr>
        <w:t>元/例，</w:t>
      </w:r>
      <w:r>
        <w:rPr>
          <w:rFonts w:hint="eastAsia" w:hAnsi="Wingdings"/>
          <w:bCs/>
          <w:color w:val="000000" w:themeColor="text1"/>
          <w:sz w:val="22"/>
          <w:szCs w:val="21"/>
          <w14:textFill>
            <w14:solidFill>
              <w14:schemeClr w14:val="tx1"/>
            </w14:solidFill>
          </w14:textFill>
        </w:rPr>
        <w:t>因方案修订或检查费标准变化等原因导致每位受试者的检查化验费与议不一致时，根据在试验中实际支付的临床试验相关的检查化验费实报实销。</w:t>
      </w:r>
    </w:p>
    <w:p w14:paraId="51494746">
      <w:pPr>
        <w:pStyle w:val="12"/>
        <w:numPr>
          <w:ilvl w:val="0"/>
          <w:numId w:val="2"/>
        </w:numPr>
        <w:spacing w:line="440" w:lineRule="exact"/>
        <w:rPr>
          <w:rFonts w:hint="eastAsia" w:hAnsi="Wingdings"/>
          <w:bCs/>
          <w:color w:val="000000" w:themeColor="text1"/>
          <w:sz w:val="22"/>
          <w:szCs w:val="21"/>
          <w14:textFill>
            <w14:solidFill>
              <w14:schemeClr w14:val="tx1"/>
            </w14:solidFill>
          </w14:textFill>
        </w:rPr>
      </w:pPr>
      <w:r>
        <w:rPr>
          <w:rFonts w:hint="eastAsia" w:hAnsi="Wingdings"/>
          <w:bCs/>
          <w:color w:val="000000" w:themeColor="text1"/>
          <w:sz w:val="22"/>
          <w:szCs w:val="21"/>
          <w14:textFill>
            <w14:solidFill>
              <w14:schemeClr w14:val="tx1"/>
            </w14:solidFill>
          </w14:textFill>
        </w:rPr>
        <w:t>交通及采血补助：每位受试者每次访视交通费预计</w:t>
      </w:r>
      <w:r>
        <w:rPr>
          <w:rFonts w:hint="eastAsia" w:hAnsi="Wingdings"/>
          <w:bCs/>
          <w:color w:val="000000" w:themeColor="text1"/>
          <w:sz w:val="22"/>
          <w:szCs w:val="21"/>
          <w:u w:val="single"/>
          <w14:textFill>
            <w14:solidFill>
              <w14:schemeClr w14:val="tx1"/>
            </w14:solidFill>
          </w14:textFill>
        </w:rPr>
        <w:t xml:space="preserve">      </w:t>
      </w:r>
      <w:r>
        <w:rPr>
          <w:rFonts w:hint="eastAsia" w:hAnsi="Wingdings"/>
          <w:bCs/>
          <w:color w:val="000000" w:themeColor="text1"/>
          <w:sz w:val="22"/>
          <w:szCs w:val="21"/>
          <w14:textFill>
            <w14:solidFill>
              <w14:schemeClr w14:val="tx1"/>
            </w14:solidFill>
          </w14:textFill>
        </w:rPr>
        <w:t>元/次，(I期试验受试者采血补助预计</w:t>
      </w:r>
      <w:r>
        <w:rPr>
          <w:rFonts w:hint="eastAsia" w:hAnsi="Wingdings"/>
          <w:bCs/>
          <w:color w:val="000000" w:themeColor="text1"/>
          <w:sz w:val="22"/>
          <w:szCs w:val="21"/>
          <w:u w:val="single"/>
          <w14:textFill>
            <w14:solidFill>
              <w14:schemeClr w14:val="tx1"/>
            </w14:solidFill>
          </w14:textFill>
        </w:rPr>
        <w:t>300</w:t>
      </w:r>
      <w:r>
        <w:rPr>
          <w:rFonts w:hint="eastAsia" w:hAnsi="Wingdings"/>
          <w:bCs/>
          <w:color w:val="000000" w:themeColor="text1"/>
          <w:sz w:val="22"/>
          <w:szCs w:val="21"/>
          <w14:textFill>
            <w14:solidFill>
              <w14:schemeClr w14:val="tx1"/>
            </w14:solidFill>
          </w14:textFill>
        </w:rPr>
        <w:t>元/次)，因知情同意书修改，协议中的报销标准与知情同意书中不一致时，以知情同意书中的标准报销为准。</w:t>
      </w:r>
    </w:p>
    <w:p w14:paraId="03401F80">
      <w:pPr>
        <w:pStyle w:val="13"/>
        <w:numPr>
          <w:ilvl w:val="0"/>
          <w:numId w:val="2"/>
        </w:numPr>
        <w:autoSpaceDE w:val="0"/>
        <w:autoSpaceDN w:val="0"/>
        <w:adjustRightInd w:val="0"/>
        <w:spacing w:line="440" w:lineRule="exact"/>
        <w:ind w:firstLineChars="0"/>
        <w:jc w:val="left"/>
        <w:rPr>
          <w:rFonts w:ascii="Arial" w:hAnsi="Arial" w:cs="Arial"/>
          <w:bCs/>
          <w:kern w:val="0"/>
          <w:sz w:val="22"/>
          <w:szCs w:val="21"/>
        </w:rPr>
      </w:pPr>
      <w:r>
        <w:rPr>
          <w:rFonts w:hint="eastAsia" w:ascii="宋体" w:hAnsi="Arial" w:cs="宋体"/>
          <w:bCs/>
          <w:kern w:val="0"/>
          <w:sz w:val="22"/>
          <w:szCs w:val="21"/>
        </w:rPr>
        <w:t>研究者费用：（提供明细）</w:t>
      </w:r>
    </w:p>
    <w:p w14:paraId="4E052786">
      <w:pPr>
        <w:pStyle w:val="12"/>
        <w:numPr>
          <w:ilvl w:val="0"/>
          <w:numId w:val="2"/>
        </w:numPr>
        <w:spacing w:line="440" w:lineRule="exact"/>
        <w:rPr>
          <w:rFonts w:hAnsi="Arial"/>
          <w:bCs/>
          <w:sz w:val="22"/>
          <w:szCs w:val="21"/>
        </w:rPr>
      </w:pPr>
      <w:r>
        <w:rPr>
          <w:rFonts w:hint="eastAsia" w:hAnsi="Arial"/>
          <w:bCs/>
          <w:sz w:val="22"/>
          <w:szCs w:val="21"/>
        </w:rPr>
        <w:t>牵头费</w:t>
      </w:r>
      <w:r>
        <w:rPr>
          <w:rFonts w:hint="eastAsia" w:hAnsi="Arial"/>
          <w:bCs/>
          <w:sz w:val="22"/>
          <w:szCs w:val="21"/>
          <w:u w:val="single"/>
        </w:rPr>
        <w:t xml:space="preserve"> </w:t>
      </w:r>
      <w:r>
        <w:rPr>
          <w:rFonts w:hint="eastAsia" w:hAnsi="Wingdings"/>
          <w:bCs/>
          <w:sz w:val="22"/>
          <w:szCs w:val="21"/>
          <w:u w:val="single"/>
        </w:rPr>
        <w:t xml:space="preserve">     </w:t>
      </w:r>
      <w:r>
        <w:rPr>
          <w:rFonts w:hint="eastAsia" w:ascii="Wingdings" w:hAnsi="Wingdings" w:cs="Wingdings"/>
          <w:bCs/>
          <w:sz w:val="22"/>
          <w:szCs w:val="21"/>
        </w:rPr>
        <w:t>元整，临床研究项目因故终止，申办者已支付的部分，将不予返还。</w:t>
      </w:r>
    </w:p>
    <w:p w14:paraId="36CA1819">
      <w:pPr>
        <w:pStyle w:val="12"/>
        <w:numPr>
          <w:ilvl w:val="0"/>
          <w:numId w:val="2"/>
        </w:numPr>
        <w:spacing w:line="440" w:lineRule="exact"/>
        <w:rPr>
          <w:rFonts w:hAnsi="Arial"/>
          <w:bCs/>
          <w:sz w:val="22"/>
          <w:szCs w:val="21"/>
        </w:rPr>
      </w:pPr>
      <w:r>
        <w:rPr>
          <w:rFonts w:hint="eastAsia" w:hAnsi="Arial"/>
          <w:bCs/>
          <w:sz w:val="22"/>
          <w:szCs w:val="21"/>
        </w:rPr>
        <w:t>SAE处理费用：试验过程中发生与试验相关的SAE时，SAE处理费用将按照实际发生额由申办者支付。</w:t>
      </w:r>
    </w:p>
    <w:p w14:paraId="020B4E74">
      <w:pPr>
        <w:pStyle w:val="13"/>
        <w:numPr>
          <w:ilvl w:val="0"/>
          <w:numId w:val="2"/>
        </w:numPr>
        <w:autoSpaceDE w:val="0"/>
        <w:autoSpaceDN w:val="0"/>
        <w:adjustRightInd w:val="0"/>
        <w:spacing w:line="440" w:lineRule="exact"/>
        <w:ind w:firstLineChars="0"/>
        <w:jc w:val="left"/>
        <w:rPr>
          <w:rFonts w:hint="eastAsia" w:ascii="宋体" w:hAnsi="Wingdings" w:cs="宋体"/>
          <w:bCs/>
          <w:color w:val="000000" w:themeColor="text1"/>
          <w:kern w:val="0"/>
          <w:sz w:val="22"/>
          <w:szCs w:val="21"/>
          <w14:textFill>
            <w14:solidFill>
              <w14:schemeClr w14:val="tx1"/>
            </w14:solidFill>
          </w14:textFill>
        </w:rPr>
      </w:pPr>
      <w:r>
        <w:rPr>
          <w:rFonts w:hint="eastAsia" w:ascii="宋体" w:hAnsi="Wingdings" w:cs="宋体"/>
          <w:bCs/>
          <w:color w:val="000000" w:themeColor="text1"/>
          <w:kern w:val="0"/>
          <w:sz w:val="22"/>
          <w:szCs w:val="21"/>
          <w14:textFill>
            <w14:solidFill>
              <w14:schemeClr w14:val="tx1"/>
            </w14:solidFill>
          </w14:textFill>
        </w:rPr>
        <w:t>医院管理费：另</w:t>
      </w:r>
      <w:r>
        <w:rPr>
          <w:rFonts w:hint="eastAsia" w:hAnsi="Wingdings"/>
          <w:bCs/>
          <w:color w:val="000000" w:themeColor="text1"/>
          <w:sz w:val="22"/>
          <w:szCs w:val="21"/>
          <w14:textFill>
            <w14:solidFill>
              <w14:schemeClr w14:val="tx1"/>
            </w14:solidFill>
          </w14:textFill>
        </w:rPr>
        <w:t>支付研究者费的30%作为医院管理费用，用于补偿医院间接成本；</w:t>
      </w:r>
    </w:p>
    <w:p w14:paraId="06CD63AE">
      <w:pPr>
        <w:pStyle w:val="12"/>
        <w:numPr>
          <w:ilvl w:val="0"/>
          <w:numId w:val="2"/>
        </w:numPr>
        <w:spacing w:line="440" w:lineRule="exact"/>
        <w:rPr>
          <w:rFonts w:hint="eastAsia" w:hAnsi="Wingdings"/>
          <w:bCs/>
          <w:color w:val="000000" w:themeColor="text1"/>
          <w:sz w:val="22"/>
          <w:szCs w:val="21"/>
          <w14:textFill>
            <w14:solidFill>
              <w14:schemeClr w14:val="tx1"/>
            </w14:solidFill>
          </w14:textFill>
        </w:rPr>
      </w:pPr>
      <w:r>
        <w:rPr>
          <w:rFonts w:hint="eastAsia" w:hAnsi="Wingdings"/>
          <w:bCs/>
          <w:color w:val="000000" w:themeColor="text1"/>
          <w:sz w:val="22"/>
          <w:szCs w:val="21"/>
          <w14:textFill>
            <w14:solidFill>
              <w14:schemeClr w14:val="tx1"/>
            </w14:solidFill>
          </w14:textFill>
        </w:rPr>
        <w:t>项目管理费：用于补偿临床试验项目直接管理成本，包括样本处理、文档管理、药品管理、CRC和CRA人员管理等内容，收费标准：项目启动至本中心入组结束：</w:t>
      </w:r>
      <w:r>
        <w:rPr>
          <w:rFonts w:hAnsi="Wingdings"/>
          <w:bCs/>
          <w:color w:val="000000" w:themeColor="text1"/>
          <w:sz w:val="22"/>
          <w:szCs w:val="21"/>
          <w14:textFill>
            <w14:solidFill>
              <w14:schemeClr w14:val="tx1"/>
            </w14:solidFill>
          </w14:textFill>
        </w:rPr>
        <w:t>2000</w:t>
      </w:r>
      <w:r>
        <w:rPr>
          <w:rFonts w:hint="eastAsia" w:hAnsi="Wingdings"/>
          <w:bCs/>
          <w:color w:val="000000" w:themeColor="text1"/>
          <w:sz w:val="22"/>
          <w:szCs w:val="21"/>
          <w14:textFill>
            <w14:solidFill>
              <w14:schemeClr w14:val="tx1"/>
            </w14:solidFill>
          </w14:textFill>
        </w:rPr>
        <w:t>元/月，不足一月按一月收取；项目进入随访期至受试者末次用药：</w:t>
      </w:r>
      <w:r>
        <w:rPr>
          <w:rFonts w:hAnsi="Wingdings"/>
          <w:bCs/>
          <w:color w:val="000000" w:themeColor="text1"/>
          <w:sz w:val="22"/>
          <w:szCs w:val="21"/>
          <w14:textFill>
            <w14:solidFill>
              <w14:schemeClr w14:val="tx1"/>
            </w14:solidFill>
          </w14:textFill>
        </w:rPr>
        <w:t>1000</w:t>
      </w:r>
      <w:r>
        <w:rPr>
          <w:rFonts w:hint="eastAsia" w:hAnsi="Wingdings"/>
          <w:bCs/>
          <w:color w:val="000000" w:themeColor="text1"/>
          <w:sz w:val="22"/>
          <w:szCs w:val="21"/>
          <w14:textFill>
            <w14:solidFill>
              <w14:schemeClr w14:val="tx1"/>
            </w14:solidFill>
          </w14:textFill>
        </w:rPr>
        <w:t>元/月，不足一月按一月收取；项目结题后：3000元/年，根据文档保存年限收取。项目未入组病人，不收取项目管理费。</w:t>
      </w:r>
    </w:p>
    <w:p w14:paraId="0D4BF084">
      <w:pPr>
        <w:pStyle w:val="12"/>
        <w:numPr>
          <w:ilvl w:val="0"/>
          <w:numId w:val="2"/>
        </w:numPr>
        <w:spacing w:line="440" w:lineRule="exact"/>
        <w:rPr>
          <w:rFonts w:hint="eastAsia" w:hAnsi="Wingdings"/>
          <w:bCs/>
          <w:sz w:val="22"/>
          <w:szCs w:val="21"/>
        </w:rPr>
      </w:pPr>
      <w:r>
        <w:rPr>
          <w:rFonts w:hint="eastAsia" w:hAnsi="Wingdings"/>
          <w:bCs/>
          <w:sz w:val="22"/>
          <w:szCs w:val="21"/>
        </w:rPr>
        <w:t>税费：以上所有费用均不含税费，实际支付时另付6%税费。</w:t>
      </w:r>
    </w:p>
    <w:p w14:paraId="3556AC84">
      <w:pPr>
        <w:pStyle w:val="12"/>
        <w:numPr>
          <w:ilvl w:val="0"/>
          <w:numId w:val="2"/>
        </w:numPr>
        <w:spacing w:line="440" w:lineRule="exact"/>
        <w:rPr>
          <w:rFonts w:ascii="PMingLiU" w:hAnsi="Arial" w:cs="PMingLiU" w:eastAsiaTheme="minorEastAsia"/>
          <w:bCs/>
          <w:color w:val="000000" w:themeColor="text1"/>
          <w:sz w:val="22"/>
          <w:szCs w:val="21"/>
          <w14:textFill>
            <w14:solidFill>
              <w14:schemeClr w14:val="tx1"/>
            </w14:solidFill>
          </w14:textFill>
        </w:rPr>
      </w:pPr>
      <w:r>
        <w:rPr>
          <w:rFonts w:hint="eastAsia" w:hAnsi="Wingdings"/>
          <w:bCs/>
          <w:color w:val="000000" w:themeColor="text1"/>
          <w:sz w:val="22"/>
          <w:szCs w:val="21"/>
          <w14:textFill>
            <w14:solidFill>
              <w14:schemeClr w14:val="tx1"/>
            </w14:solidFill>
          </w14:textFill>
        </w:rPr>
        <w:t>项目审查费：20000元/项（含税），包括学术委员会和伦理委员会在项目执行期间的SAE评估或审查、年度审查、方案违背审查等跟踪审查费用（已支付）；方案修正案审核3000元/次（含税），方案修正案审核费在项目结题时，进行尾款结算时按实际发生支付。</w:t>
      </w:r>
    </w:p>
    <w:p w14:paraId="59251AC2">
      <w:pPr>
        <w:widowControl/>
        <w:spacing w:line="440" w:lineRule="exact"/>
        <w:jc w:val="left"/>
        <w:rPr>
          <w:rFonts w:hint="eastAsia" w:hAnsi="Wingdings"/>
          <w:sz w:val="22"/>
          <w:szCs w:val="21"/>
        </w:rPr>
      </w:pPr>
    </w:p>
    <w:p w14:paraId="7F805BA7">
      <w:pPr>
        <w:pStyle w:val="13"/>
        <w:numPr>
          <w:ilvl w:val="0"/>
          <w:numId w:val="2"/>
        </w:numPr>
        <w:ind w:firstLineChars="0"/>
        <w:rPr>
          <w:rFonts w:hint="eastAsia" w:hAnsi="Wingdings"/>
          <w:b/>
          <w:sz w:val="22"/>
          <w:szCs w:val="21"/>
        </w:rPr>
      </w:pPr>
      <w:r>
        <w:rPr>
          <w:rFonts w:hint="eastAsia" w:hAnsi="Wingdings"/>
          <w:b/>
          <w:sz w:val="22"/>
          <w:szCs w:val="21"/>
        </w:rPr>
        <w:t>项目总预算、付费方式及频度</w:t>
      </w:r>
    </w:p>
    <w:tbl>
      <w:tblPr>
        <w:tblStyle w:val="7"/>
        <w:tblW w:w="8926" w:type="dxa"/>
        <w:tblInd w:w="0" w:type="dxa"/>
        <w:tblLayout w:type="autofit"/>
        <w:tblCellMar>
          <w:top w:w="0" w:type="dxa"/>
          <w:left w:w="108" w:type="dxa"/>
          <w:bottom w:w="0" w:type="dxa"/>
          <w:right w:w="108" w:type="dxa"/>
        </w:tblCellMar>
      </w:tblPr>
      <w:tblGrid>
        <w:gridCol w:w="1420"/>
        <w:gridCol w:w="1760"/>
        <w:gridCol w:w="1620"/>
        <w:gridCol w:w="1380"/>
        <w:gridCol w:w="1240"/>
        <w:gridCol w:w="1506"/>
      </w:tblGrid>
      <w:tr w14:paraId="2E7CE593">
        <w:tblPrEx>
          <w:tblCellMar>
            <w:top w:w="0" w:type="dxa"/>
            <w:left w:w="108" w:type="dxa"/>
            <w:bottom w:w="0" w:type="dxa"/>
            <w:right w:w="108" w:type="dxa"/>
          </w:tblCellMar>
        </w:tblPrEx>
        <w:trPr>
          <w:trHeight w:val="419" w:hRule="atLeast"/>
        </w:trPr>
        <w:tc>
          <w:tcPr>
            <w:tcW w:w="1420" w:type="dxa"/>
            <w:tcBorders>
              <w:top w:val="single" w:color="auto" w:sz="4" w:space="0"/>
              <w:left w:val="single" w:color="auto" w:sz="4" w:space="0"/>
              <w:bottom w:val="single" w:color="auto" w:sz="4" w:space="0"/>
              <w:right w:val="single" w:color="auto" w:sz="4" w:space="0"/>
            </w:tcBorders>
            <w:shd w:val="clear" w:color="000000" w:fill="DBE5F1"/>
            <w:vAlign w:val="center"/>
          </w:tcPr>
          <w:p w14:paraId="7A490FA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类别</w:t>
            </w:r>
          </w:p>
        </w:tc>
        <w:tc>
          <w:tcPr>
            <w:tcW w:w="1760" w:type="dxa"/>
            <w:tcBorders>
              <w:top w:val="single" w:color="auto" w:sz="4" w:space="0"/>
              <w:left w:val="nil"/>
              <w:bottom w:val="single" w:color="auto" w:sz="4" w:space="0"/>
              <w:right w:val="single" w:color="auto" w:sz="4" w:space="0"/>
            </w:tcBorders>
            <w:shd w:val="clear" w:color="000000" w:fill="DBE5F1"/>
            <w:vAlign w:val="center"/>
          </w:tcPr>
          <w:p w14:paraId="5FEA486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项目</w:t>
            </w:r>
          </w:p>
        </w:tc>
        <w:tc>
          <w:tcPr>
            <w:tcW w:w="1620" w:type="dxa"/>
            <w:tcBorders>
              <w:top w:val="single" w:color="auto" w:sz="4" w:space="0"/>
              <w:left w:val="nil"/>
              <w:bottom w:val="single" w:color="auto" w:sz="4" w:space="0"/>
              <w:right w:val="single" w:color="auto" w:sz="4" w:space="0"/>
            </w:tcBorders>
            <w:shd w:val="clear" w:color="000000" w:fill="DBE5F1"/>
            <w:vAlign w:val="center"/>
          </w:tcPr>
          <w:p w14:paraId="39E9071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费用标准</w:t>
            </w:r>
          </w:p>
        </w:tc>
        <w:tc>
          <w:tcPr>
            <w:tcW w:w="1380" w:type="dxa"/>
            <w:tcBorders>
              <w:top w:val="single" w:color="auto" w:sz="4" w:space="0"/>
              <w:left w:val="nil"/>
              <w:bottom w:val="single" w:color="auto" w:sz="4" w:space="0"/>
              <w:right w:val="single" w:color="auto" w:sz="4" w:space="0"/>
            </w:tcBorders>
            <w:shd w:val="clear" w:color="000000" w:fill="DBE5F1"/>
            <w:vAlign w:val="center"/>
          </w:tcPr>
          <w:p w14:paraId="3BC2BFF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数量</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394C790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单项费用</w:t>
            </w:r>
          </w:p>
        </w:tc>
        <w:tc>
          <w:tcPr>
            <w:tcW w:w="1506" w:type="dxa"/>
            <w:tcBorders>
              <w:top w:val="single" w:color="auto" w:sz="4" w:space="0"/>
              <w:left w:val="nil"/>
              <w:bottom w:val="single" w:color="auto" w:sz="4" w:space="0"/>
              <w:right w:val="single" w:color="auto" w:sz="4" w:space="0"/>
            </w:tcBorders>
            <w:shd w:val="clear" w:color="000000" w:fill="DBE5F1"/>
            <w:vAlign w:val="center"/>
          </w:tcPr>
          <w:p w14:paraId="45CB976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合计费用</w:t>
            </w:r>
          </w:p>
        </w:tc>
      </w:tr>
      <w:tr w14:paraId="1490AC52">
        <w:tblPrEx>
          <w:tblCellMar>
            <w:top w:w="0" w:type="dxa"/>
            <w:left w:w="108" w:type="dxa"/>
            <w:bottom w:w="0" w:type="dxa"/>
            <w:right w:w="108" w:type="dxa"/>
          </w:tblCellMar>
        </w:tblPrEx>
        <w:trPr>
          <w:trHeight w:val="419" w:hRule="atLeast"/>
        </w:trPr>
        <w:tc>
          <w:tcPr>
            <w:tcW w:w="1420" w:type="dxa"/>
            <w:vMerge w:val="restart"/>
            <w:tcBorders>
              <w:top w:val="nil"/>
              <w:left w:val="single" w:color="auto" w:sz="4" w:space="0"/>
              <w:bottom w:val="single" w:color="000000" w:sz="4" w:space="0"/>
              <w:right w:val="single" w:color="auto" w:sz="4" w:space="0"/>
            </w:tcBorders>
            <w:vAlign w:val="center"/>
          </w:tcPr>
          <w:p w14:paraId="087FFBFE">
            <w:pPr>
              <w:widowControl/>
              <w:jc w:val="center"/>
              <w:rPr>
                <w:rFonts w:hint="eastAsia" w:ascii="宋体" w:hAnsi="宋体" w:cs="宋体"/>
                <w:color w:val="000000"/>
                <w:kern w:val="0"/>
                <w:szCs w:val="21"/>
              </w:rPr>
            </w:pPr>
            <w:r>
              <w:rPr>
                <w:rFonts w:hint="eastAsia" w:ascii="宋体" w:hAnsi="宋体" w:cs="宋体"/>
                <w:color w:val="000000"/>
                <w:kern w:val="0"/>
                <w:szCs w:val="21"/>
              </w:rPr>
              <w:t>研究者费</w:t>
            </w:r>
          </w:p>
        </w:tc>
        <w:tc>
          <w:tcPr>
            <w:tcW w:w="1760" w:type="dxa"/>
            <w:tcBorders>
              <w:top w:val="nil"/>
              <w:left w:val="nil"/>
              <w:bottom w:val="single" w:color="auto" w:sz="4" w:space="0"/>
              <w:right w:val="single" w:color="auto" w:sz="4" w:space="0"/>
            </w:tcBorders>
            <w:vAlign w:val="center"/>
          </w:tcPr>
          <w:p w14:paraId="30F2EC9B">
            <w:pPr>
              <w:widowControl/>
              <w:jc w:val="right"/>
              <w:rPr>
                <w:rFonts w:hint="eastAsia" w:ascii="宋体" w:hAnsi="宋体" w:cs="宋体"/>
                <w:color w:val="000000"/>
                <w:kern w:val="0"/>
                <w:szCs w:val="21"/>
              </w:rPr>
            </w:pPr>
            <w:r>
              <w:rPr>
                <w:rFonts w:hint="eastAsia" w:ascii="宋体" w:hAnsi="宋体" w:cs="宋体"/>
                <w:color w:val="000000"/>
                <w:kern w:val="0"/>
                <w:szCs w:val="21"/>
              </w:rPr>
              <w:t xml:space="preserve">观察费      </w:t>
            </w:r>
          </w:p>
        </w:tc>
        <w:tc>
          <w:tcPr>
            <w:tcW w:w="1620" w:type="dxa"/>
            <w:tcBorders>
              <w:top w:val="nil"/>
              <w:left w:val="nil"/>
              <w:bottom w:val="single" w:color="auto" w:sz="4" w:space="0"/>
              <w:right w:val="single" w:color="auto" w:sz="4" w:space="0"/>
            </w:tcBorders>
            <w:vAlign w:val="center"/>
          </w:tcPr>
          <w:p w14:paraId="726BCC06">
            <w:pPr>
              <w:widowControl/>
              <w:jc w:val="right"/>
              <w:rPr>
                <w:rFonts w:hint="eastAsia" w:ascii="宋体" w:hAnsi="宋体" w:cs="宋体"/>
                <w:color w:val="000000"/>
                <w:kern w:val="0"/>
                <w:szCs w:val="21"/>
              </w:rPr>
            </w:pPr>
            <w:r>
              <w:rPr>
                <w:rFonts w:hint="eastAsia" w:ascii="宋体" w:hAnsi="宋体" w:cs="宋体"/>
                <w:color w:val="000000"/>
                <w:kern w:val="0"/>
                <w:szCs w:val="21"/>
              </w:rPr>
              <w:t>元/例</w:t>
            </w:r>
          </w:p>
        </w:tc>
        <w:tc>
          <w:tcPr>
            <w:tcW w:w="1380" w:type="dxa"/>
            <w:tcBorders>
              <w:top w:val="nil"/>
              <w:left w:val="nil"/>
              <w:bottom w:val="single" w:color="auto" w:sz="4" w:space="0"/>
              <w:right w:val="single" w:color="auto" w:sz="4" w:space="0"/>
            </w:tcBorders>
            <w:vAlign w:val="center"/>
          </w:tcPr>
          <w:p w14:paraId="2C7EFA97">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auto" w:sz="4" w:space="0"/>
              <w:right w:val="single" w:color="auto" w:sz="4" w:space="0"/>
            </w:tcBorders>
            <w:vAlign w:val="center"/>
          </w:tcPr>
          <w:p w14:paraId="1E6048C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vMerge w:val="restart"/>
            <w:tcBorders>
              <w:top w:val="nil"/>
              <w:left w:val="single" w:color="auto" w:sz="4" w:space="0"/>
              <w:bottom w:val="single" w:color="000000" w:sz="4" w:space="0"/>
              <w:right w:val="single" w:color="auto" w:sz="4" w:space="0"/>
            </w:tcBorders>
            <w:vAlign w:val="center"/>
          </w:tcPr>
          <w:p w14:paraId="6ED5A10F">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 </w:t>
            </w:r>
          </w:p>
        </w:tc>
      </w:tr>
      <w:tr w14:paraId="598EFF39">
        <w:tblPrEx>
          <w:tblCellMar>
            <w:top w:w="0" w:type="dxa"/>
            <w:left w:w="108" w:type="dxa"/>
            <w:bottom w:w="0" w:type="dxa"/>
            <w:right w:w="108" w:type="dxa"/>
          </w:tblCellMar>
        </w:tblPrEx>
        <w:trPr>
          <w:trHeight w:val="419" w:hRule="atLeast"/>
        </w:trPr>
        <w:tc>
          <w:tcPr>
            <w:tcW w:w="1420" w:type="dxa"/>
            <w:vMerge w:val="continue"/>
            <w:tcBorders>
              <w:top w:val="nil"/>
              <w:left w:val="single" w:color="auto" w:sz="4" w:space="0"/>
              <w:bottom w:val="single" w:color="000000" w:sz="4" w:space="0"/>
              <w:right w:val="single" w:color="auto" w:sz="4" w:space="0"/>
            </w:tcBorders>
            <w:vAlign w:val="center"/>
          </w:tcPr>
          <w:p w14:paraId="0D2F809C">
            <w:pPr>
              <w:widowControl/>
              <w:jc w:val="left"/>
              <w:rPr>
                <w:rFonts w:hint="eastAsia" w:ascii="宋体" w:hAnsi="宋体" w:cs="宋体"/>
                <w:color w:val="000000"/>
                <w:kern w:val="0"/>
                <w:szCs w:val="21"/>
              </w:rPr>
            </w:pPr>
          </w:p>
        </w:tc>
        <w:tc>
          <w:tcPr>
            <w:tcW w:w="1760" w:type="dxa"/>
            <w:tcBorders>
              <w:top w:val="nil"/>
              <w:left w:val="nil"/>
              <w:bottom w:val="single" w:color="auto" w:sz="4" w:space="0"/>
              <w:right w:val="single" w:color="auto" w:sz="4" w:space="0"/>
            </w:tcBorders>
            <w:vAlign w:val="center"/>
          </w:tcPr>
          <w:p w14:paraId="7265AAB3">
            <w:pPr>
              <w:widowControl/>
              <w:jc w:val="right"/>
              <w:rPr>
                <w:rFonts w:hint="eastAsia" w:ascii="宋体" w:hAnsi="宋体" w:cs="宋体"/>
                <w:color w:val="000000"/>
                <w:kern w:val="0"/>
                <w:szCs w:val="21"/>
              </w:rPr>
            </w:pPr>
            <w:r>
              <w:rPr>
                <w:rFonts w:hint="eastAsia" w:ascii="宋体" w:hAnsi="宋体" w:cs="宋体"/>
                <w:color w:val="000000"/>
                <w:kern w:val="0"/>
                <w:szCs w:val="21"/>
              </w:rPr>
              <w:t>其他相关科室人员劳务费</w:t>
            </w:r>
          </w:p>
        </w:tc>
        <w:tc>
          <w:tcPr>
            <w:tcW w:w="1620" w:type="dxa"/>
            <w:tcBorders>
              <w:top w:val="nil"/>
              <w:left w:val="nil"/>
              <w:bottom w:val="single" w:color="auto" w:sz="4" w:space="0"/>
              <w:right w:val="single" w:color="auto" w:sz="4" w:space="0"/>
            </w:tcBorders>
            <w:vAlign w:val="center"/>
          </w:tcPr>
          <w:p w14:paraId="4152808D">
            <w:pPr>
              <w:widowControl/>
              <w:jc w:val="right"/>
              <w:rPr>
                <w:rFonts w:hint="eastAsia" w:ascii="宋体" w:hAnsi="宋体" w:cs="宋体"/>
                <w:color w:val="000000"/>
                <w:kern w:val="0"/>
                <w:szCs w:val="21"/>
              </w:rPr>
            </w:pPr>
            <w:r>
              <w:rPr>
                <w:rFonts w:hint="eastAsia" w:ascii="宋体" w:hAnsi="宋体" w:cs="宋体"/>
                <w:color w:val="000000"/>
                <w:kern w:val="0"/>
                <w:szCs w:val="21"/>
              </w:rPr>
              <w:t>元/次</w:t>
            </w:r>
          </w:p>
        </w:tc>
        <w:tc>
          <w:tcPr>
            <w:tcW w:w="1380" w:type="dxa"/>
            <w:tcBorders>
              <w:top w:val="nil"/>
              <w:left w:val="nil"/>
              <w:bottom w:val="single" w:color="auto" w:sz="4" w:space="0"/>
              <w:right w:val="single" w:color="auto" w:sz="4" w:space="0"/>
            </w:tcBorders>
            <w:vAlign w:val="center"/>
          </w:tcPr>
          <w:p w14:paraId="151A6DE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auto" w:sz="4" w:space="0"/>
              <w:right w:val="single" w:color="auto" w:sz="4" w:space="0"/>
            </w:tcBorders>
            <w:vAlign w:val="center"/>
          </w:tcPr>
          <w:p w14:paraId="31F5FD3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vMerge w:val="continue"/>
            <w:tcBorders>
              <w:top w:val="nil"/>
              <w:left w:val="single" w:color="auto" w:sz="4" w:space="0"/>
              <w:bottom w:val="single" w:color="000000" w:sz="4" w:space="0"/>
              <w:right w:val="single" w:color="auto" w:sz="4" w:space="0"/>
            </w:tcBorders>
            <w:vAlign w:val="center"/>
          </w:tcPr>
          <w:p w14:paraId="45012FAE">
            <w:pPr>
              <w:widowControl/>
              <w:jc w:val="left"/>
              <w:rPr>
                <w:rFonts w:hint="eastAsia" w:ascii="宋体" w:hAnsi="宋体" w:cs="宋体"/>
                <w:color w:val="000000"/>
                <w:kern w:val="0"/>
                <w:szCs w:val="21"/>
              </w:rPr>
            </w:pPr>
          </w:p>
        </w:tc>
      </w:tr>
      <w:tr w14:paraId="3582C352">
        <w:tblPrEx>
          <w:tblCellMar>
            <w:top w:w="0" w:type="dxa"/>
            <w:left w:w="108" w:type="dxa"/>
            <w:bottom w:w="0" w:type="dxa"/>
            <w:right w:w="108" w:type="dxa"/>
          </w:tblCellMar>
        </w:tblPrEx>
        <w:trPr>
          <w:trHeight w:val="419" w:hRule="atLeast"/>
        </w:trPr>
        <w:tc>
          <w:tcPr>
            <w:tcW w:w="1420" w:type="dxa"/>
            <w:vMerge w:val="restart"/>
            <w:tcBorders>
              <w:top w:val="nil"/>
              <w:left w:val="single" w:color="auto" w:sz="4" w:space="0"/>
              <w:bottom w:val="single" w:color="000000" w:sz="4" w:space="0"/>
              <w:right w:val="single" w:color="auto" w:sz="4" w:space="0"/>
            </w:tcBorders>
            <w:vAlign w:val="center"/>
          </w:tcPr>
          <w:p w14:paraId="5DE225D1">
            <w:pPr>
              <w:widowControl/>
              <w:jc w:val="center"/>
              <w:rPr>
                <w:rFonts w:hint="eastAsia" w:ascii="宋体" w:hAnsi="宋体" w:cs="宋体"/>
                <w:color w:val="000000"/>
                <w:kern w:val="0"/>
                <w:szCs w:val="21"/>
              </w:rPr>
            </w:pPr>
            <w:r>
              <w:rPr>
                <w:rFonts w:hint="eastAsia" w:ascii="宋体" w:hAnsi="宋体" w:cs="宋体"/>
                <w:color w:val="000000"/>
                <w:kern w:val="0"/>
                <w:szCs w:val="21"/>
              </w:rPr>
              <w:t>受试者费</w:t>
            </w:r>
          </w:p>
        </w:tc>
        <w:tc>
          <w:tcPr>
            <w:tcW w:w="1760" w:type="dxa"/>
            <w:tcBorders>
              <w:top w:val="nil"/>
              <w:left w:val="nil"/>
              <w:bottom w:val="single" w:color="auto" w:sz="4" w:space="0"/>
              <w:right w:val="single" w:color="auto" w:sz="4" w:space="0"/>
            </w:tcBorders>
            <w:vAlign w:val="center"/>
          </w:tcPr>
          <w:p w14:paraId="47D1A349">
            <w:pPr>
              <w:widowControl/>
              <w:jc w:val="right"/>
              <w:rPr>
                <w:rFonts w:hint="eastAsia" w:ascii="宋体" w:hAnsi="宋体" w:cs="宋体"/>
                <w:color w:val="000000"/>
                <w:kern w:val="0"/>
                <w:szCs w:val="21"/>
              </w:rPr>
            </w:pPr>
            <w:r>
              <w:rPr>
                <w:rFonts w:hint="eastAsia" w:ascii="宋体" w:hAnsi="宋体" w:cs="宋体"/>
                <w:color w:val="000000"/>
                <w:kern w:val="0"/>
                <w:szCs w:val="21"/>
              </w:rPr>
              <w:t>受试者检查费</w:t>
            </w:r>
          </w:p>
        </w:tc>
        <w:tc>
          <w:tcPr>
            <w:tcW w:w="1620" w:type="dxa"/>
            <w:tcBorders>
              <w:top w:val="nil"/>
              <w:left w:val="nil"/>
              <w:bottom w:val="single" w:color="auto" w:sz="4" w:space="0"/>
              <w:right w:val="single" w:color="auto" w:sz="4" w:space="0"/>
            </w:tcBorders>
            <w:vAlign w:val="center"/>
          </w:tcPr>
          <w:p w14:paraId="5071F19F">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80" w:type="dxa"/>
            <w:tcBorders>
              <w:top w:val="nil"/>
              <w:left w:val="nil"/>
              <w:bottom w:val="single" w:color="auto" w:sz="4" w:space="0"/>
              <w:right w:val="single" w:color="auto" w:sz="4" w:space="0"/>
            </w:tcBorders>
            <w:vAlign w:val="center"/>
          </w:tcPr>
          <w:p w14:paraId="3E4F534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auto" w:sz="4" w:space="0"/>
              <w:right w:val="single" w:color="auto" w:sz="4" w:space="0"/>
            </w:tcBorders>
            <w:vAlign w:val="center"/>
          </w:tcPr>
          <w:p w14:paraId="0439AD13">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vMerge w:val="restart"/>
            <w:tcBorders>
              <w:top w:val="nil"/>
              <w:left w:val="single" w:color="auto" w:sz="4" w:space="0"/>
              <w:bottom w:val="single" w:color="000000" w:sz="4" w:space="0"/>
              <w:right w:val="single" w:color="auto" w:sz="4" w:space="0"/>
            </w:tcBorders>
            <w:vAlign w:val="center"/>
          </w:tcPr>
          <w:p w14:paraId="33B157D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55D902C">
        <w:tblPrEx>
          <w:tblCellMar>
            <w:top w:w="0" w:type="dxa"/>
            <w:left w:w="108" w:type="dxa"/>
            <w:bottom w:w="0" w:type="dxa"/>
            <w:right w:w="108" w:type="dxa"/>
          </w:tblCellMar>
        </w:tblPrEx>
        <w:trPr>
          <w:trHeight w:val="419" w:hRule="atLeast"/>
        </w:trPr>
        <w:tc>
          <w:tcPr>
            <w:tcW w:w="1420" w:type="dxa"/>
            <w:vMerge w:val="continue"/>
            <w:tcBorders>
              <w:top w:val="nil"/>
              <w:left w:val="single" w:color="auto" w:sz="4" w:space="0"/>
              <w:bottom w:val="single" w:color="000000" w:sz="4" w:space="0"/>
              <w:right w:val="single" w:color="auto" w:sz="4" w:space="0"/>
            </w:tcBorders>
            <w:vAlign w:val="center"/>
          </w:tcPr>
          <w:p w14:paraId="748BE4D2">
            <w:pPr>
              <w:widowControl/>
              <w:jc w:val="left"/>
              <w:rPr>
                <w:rFonts w:hint="eastAsia" w:ascii="宋体" w:hAnsi="宋体" w:cs="宋体"/>
                <w:color w:val="000000"/>
                <w:kern w:val="0"/>
                <w:szCs w:val="21"/>
              </w:rPr>
            </w:pPr>
          </w:p>
        </w:tc>
        <w:tc>
          <w:tcPr>
            <w:tcW w:w="1760" w:type="dxa"/>
            <w:tcBorders>
              <w:top w:val="nil"/>
              <w:left w:val="nil"/>
              <w:bottom w:val="single" w:color="auto" w:sz="4" w:space="0"/>
              <w:right w:val="single" w:color="auto" w:sz="4" w:space="0"/>
            </w:tcBorders>
            <w:vAlign w:val="center"/>
          </w:tcPr>
          <w:p w14:paraId="35D649CB">
            <w:pPr>
              <w:widowControl/>
              <w:jc w:val="right"/>
              <w:rPr>
                <w:rFonts w:hint="eastAsia" w:ascii="宋体" w:hAnsi="宋体" w:cs="宋体"/>
                <w:color w:val="000000"/>
                <w:kern w:val="0"/>
                <w:szCs w:val="21"/>
              </w:rPr>
            </w:pPr>
            <w:r>
              <w:rPr>
                <w:rFonts w:hint="eastAsia" w:ascii="宋体" w:hAnsi="宋体" w:cs="宋体"/>
                <w:color w:val="000000"/>
                <w:kern w:val="0"/>
                <w:szCs w:val="21"/>
              </w:rPr>
              <w:t>受试者采血补助</w:t>
            </w:r>
          </w:p>
        </w:tc>
        <w:tc>
          <w:tcPr>
            <w:tcW w:w="1620" w:type="dxa"/>
            <w:tcBorders>
              <w:top w:val="nil"/>
              <w:left w:val="nil"/>
              <w:bottom w:val="single" w:color="auto" w:sz="4" w:space="0"/>
              <w:right w:val="single" w:color="auto" w:sz="4" w:space="0"/>
            </w:tcBorders>
            <w:vAlign w:val="center"/>
          </w:tcPr>
          <w:p w14:paraId="78D9D42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80" w:type="dxa"/>
            <w:tcBorders>
              <w:top w:val="nil"/>
              <w:left w:val="nil"/>
              <w:bottom w:val="single" w:color="auto" w:sz="4" w:space="0"/>
              <w:right w:val="single" w:color="auto" w:sz="4" w:space="0"/>
            </w:tcBorders>
            <w:vAlign w:val="center"/>
          </w:tcPr>
          <w:p w14:paraId="57AD9D9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auto" w:sz="4" w:space="0"/>
              <w:right w:val="single" w:color="auto" w:sz="4" w:space="0"/>
            </w:tcBorders>
            <w:vAlign w:val="center"/>
          </w:tcPr>
          <w:p w14:paraId="3A844CCD">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vMerge w:val="continue"/>
            <w:tcBorders>
              <w:top w:val="nil"/>
              <w:left w:val="single" w:color="auto" w:sz="4" w:space="0"/>
              <w:bottom w:val="single" w:color="000000" w:sz="4" w:space="0"/>
              <w:right w:val="single" w:color="auto" w:sz="4" w:space="0"/>
            </w:tcBorders>
            <w:vAlign w:val="center"/>
          </w:tcPr>
          <w:p w14:paraId="00833A3B">
            <w:pPr>
              <w:widowControl/>
              <w:jc w:val="left"/>
              <w:rPr>
                <w:rFonts w:hint="eastAsia" w:ascii="宋体" w:hAnsi="宋体" w:cs="宋体"/>
                <w:color w:val="000000"/>
                <w:kern w:val="0"/>
                <w:szCs w:val="21"/>
              </w:rPr>
            </w:pPr>
          </w:p>
        </w:tc>
      </w:tr>
      <w:tr w14:paraId="203F1B47">
        <w:tblPrEx>
          <w:tblCellMar>
            <w:top w:w="0" w:type="dxa"/>
            <w:left w:w="108" w:type="dxa"/>
            <w:bottom w:w="0" w:type="dxa"/>
            <w:right w:w="108" w:type="dxa"/>
          </w:tblCellMar>
        </w:tblPrEx>
        <w:trPr>
          <w:trHeight w:val="419" w:hRule="atLeast"/>
        </w:trPr>
        <w:tc>
          <w:tcPr>
            <w:tcW w:w="1420" w:type="dxa"/>
            <w:vMerge w:val="continue"/>
            <w:tcBorders>
              <w:top w:val="nil"/>
              <w:left w:val="single" w:color="auto" w:sz="4" w:space="0"/>
              <w:bottom w:val="single" w:color="000000" w:sz="4" w:space="0"/>
              <w:right w:val="single" w:color="auto" w:sz="4" w:space="0"/>
            </w:tcBorders>
            <w:vAlign w:val="center"/>
          </w:tcPr>
          <w:p w14:paraId="3170BE4E">
            <w:pPr>
              <w:widowControl/>
              <w:jc w:val="left"/>
              <w:rPr>
                <w:rFonts w:hint="eastAsia" w:ascii="宋体" w:hAnsi="宋体" w:cs="宋体"/>
                <w:color w:val="000000"/>
                <w:kern w:val="0"/>
                <w:szCs w:val="21"/>
              </w:rPr>
            </w:pPr>
          </w:p>
        </w:tc>
        <w:tc>
          <w:tcPr>
            <w:tcW w:w="1760" w:type="dxa"/>
            <w:tcBorders>
              <w:top w:val="nil"/>
              <w:left w:val="nil"/>
              <w:bottom w:val="single" w:color="auto" w:sz="4" w:space="0"/>
              <w:right w:val="single" w:color="auto" w:sz="4" w:space="0"/>
            </w:tcBorders>
            <w:vAlign w:val="center"/>
          </w:tcPr>
          <w:p w14:paraId="4D417EDE">
            <w:pPr>
              <w:widowControl/>
              <w:jc w:val="right"/>
              <w:rPr>
                <w:rFonts w:hint="eastAsia" w:ascii="宋体" w:hAnsi="宋体" w:cs="宋体"/>
                <w:color w:val="000000"/>
                <w:kern w:val="0"/>
                <w:szCs w:val="21"/>
              </w:rPr>
            </w:pPr>
            <w:r>
              <w:rPr>
                <w:rFonts w:hint="eastAsia" w:ascii="宋体" w:hAnsi="宋体" w:cs="宋体"/>
                <w:color w:val="000000"/>
                <w:kern w:val="0"/>
                <w:szCs w:val="21"/>
              </w:rPr>
              <w:t>受试者交通补助</w:t>
            </w:r>
          </w:p>
        </w:tc>
        <w:tc>
          <w:tcPr>
            <w:tcW w:w="1620" w:type="dxa"/>
            <w:tcBorders>
              <w:top w:val="nil"/>
              <w:left w:val="nil"/>
              <w:bottom w:val="single" w:color="auto" w:sz="4" w:space="0"/>
              <w:right w:val="single" w:color="auto" w:sz="4" w:space="0"/>
            </w:tcBorders>
            <w:vAlign w:val="center"/>
          </w:tcPr>
          <w:p w14:paraId="64ACDDE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380" w:type="dxa"/>
            <w:tcBorders>
              <w:top w:val="nil"/>
              <w:left w:val="nil"/>
              <w:bottom w:val="single" w:color="auto" w:sz="4" w:space="0"/>
              <w:right w:val="single" w:color="auto" w:sz="4" w:space="0"/>
            </w:tcBorders>
            <w:vAlign w:val="center"/>
          </w:tcPr>
          <w:p w14:paraId="56C96C7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40" w:type="dxa"/>
            <w:tcBorders>
              <w:top w:val="nil"/>
              <w:left w:val="nil"/>
              <w:bottom w:val="single" w:color="auto" w:sz="4" w:space="0"/>
              <w:right w:val="single" w:color="auto" w:sz="4" w:space="0"/>
            </w:tcBorders>
            <w:vAlign w:val="center"/>
          </w:tcPr>
          <w:p w14:paraId="0852D5A5">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vMerge w:val="continue"/>
            <w:tcBorders>
              <w:top w:val="nil"/>
              <w:left w:val="single" w:color="auto" w:sz="4" w:space="0"/>
              <w:bottom w:val="single" w:color="000000" w:sz="4" w:space="0"/>
              <w:right w:val="single" w:color="auto" w:sz="4" w:space="0"/>
            </w:tcBorders>
            <w:vAlign w:val="center"/>
          </w:tcPr>
          <w:p w14:paraId="6CDAC832">
            <w:pPr>
              <w:widowControl/>
              <w:jc w:val="left"/>
              <w:rPr>
                <w:rFonts w:hint="eastAsia" w:ascii="宋体" w:hAnsi="宋体" w:cs="宋体"/>
                <w:color w:val="000000"/>
                <w:kern w:val="0"/>
                <w:szCs w:val="21"/>
              </w:rPr>
            </w:pPr>
          </w:p>
        </w:tc>
      </w:tr>
      <w:tr w14:paraId="06ADBD5E">
        <w:tblPrEx>
          <w:tblCellMar>
            <w:top w:w="0" w:type="dxa"/>
            <w:left w:w="108" w:type="dxa"/>
            <w:bottom w:w="0" w:type="dxa"/>
            <w:right w:w="108" w:type="dxa"/>
          </w:tblCellMar>
        </w:tblPrEx>
        <w:trPr>
          <w:trHeight w:val="419" w:hRule="atLeast"/>
        </w:trPr>
        <w:tc>
          <w:tcPr>
            <w:tcW w:w="1420" w:type="dxa"/>
            <w:vMerge w:val="restart"/>
            <w:tcBorders>
              <w:top w:val="nil"/>
              <w:left w:val="single" w:color="auto" w:sz="4" w:space="0"/>
              <w:bottom w:val="single" w:color="000000" w:sz="4" w:space="0"/>
              <w:right w:val="single" w:color="auto" w:sz="4" w:space="0"/>
            </w:tcBorders>
            <w:vAlign w:val="center"/>
          </w:tcPr>
          <w:p w14:paraId="30064909">
            <w:pPr>
              <w:widowControl/>
              <w:jc w:val="center"/>
              <w:rPr>
                <w:rFonts w:hint="eastAsia" w:ascii="宋体" w:hAnsi="宋体" w:cs="宋体"/>
                <w:color w:val="000000"/>
                <w:kern w:val="0"/>
                <w:szCs w:val="21"/>
              </w:rPr>
            </w:pPr>
            <w:r>
              <w:rPr>
                <w:rFonts w:hint="eastAsia" w:ascii="宋体" w:hAnsi="宋体" w:cs="宋体"/>
                <w:color w:val="000000"/>
                <w:kern w:val="0"/>
                <w:szCs w:val="21"/>
              </w:rPr>
              <w:t>管理费</w:t>
            </w:r>
          </w:p>
        </w:tc>
        <w:tc>
          <w:tcPr>
            <w:tcW w:w="1760" w:type="dxa"/>
            <w:tcBorders>
              <w:top w:val="nil"/>
              <w:left w:val="nil"/>
              <w:bottom w:val="single" w:color="auto" w:sz="4" w:space="0"/>
              <w:right w:val="single" w:color="auto" w:sz="4" w:space="0"/>
            </w:tcBorders>
            <w:vAlign w:val="center"/>
          </w:tcPr>
          <w:p w14:paraId="7C2CBABA">
            <w:pPr>
              <w:widowControl/>
              <w:jc w:val="right"/>
              <w:rPr>
                <w:rFonts w:hint="eastAsia" w:ascii="宋体" w:hAnsi="宋体" w:cs="宋体"/>
                <w:color w:val="000000"/>
                <w:kern w:val="0"/>
                <w:szCs w:val="21"/>
              </w:rPr>
            </w:pPr>
            <w:r>
              <w:rPr>
                <w:rFonts w:hint="eastAsia" w:ascii="宋体" w:hAnsi="宋体" w:cs="宋体"/>
                <w:color w:val="000000"/>
                <w:kern w:val="0"/>
                <w:szCs w:val="21"/>
              </w:rPr>
              <w:t>医院管理费</w:t>
            </w:r>
          </w:p>
        </w:tc>
        <w:tc>
          <w:tcPr>
            <w:tcW w:w="3000" w:type="dxa"/>
            <w:gridSpan w:val="2"/>
            <w:tcBorders>
              <w:top w:val="single" w:color="auto" w:sz="4" w:space="0"/>
              <w:left w:val="nil"/>
              <w:bottom w:val="single" w:color="auto" w:sz="4" w:space="0"/>
              <w:right w:val="single" w:color="auto" w:sz="4" w:space="0"/>
            </w:tcBorders>
            <w:vAlign w:val="center"/>
          </w:tcPr>
          <w:p w14:paraId="5B047751">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研究者费*30% </w:t>
            </w:r>
          </w:p>
        </w:tc>
        <w:tc>
          <w:tcPr>
            <w:tcW w:w="1240" w:type="dxa"/>
            <w:tcBorders>
              <w:top w:val="nil"/>
              <w:left w:val="nil"/>
              <w:bottom w:val="single" w:color="auto" w:sz="4" w:space="0"/>
              <w:right w:val="single" w:color="auto" w:sz="4" w:space="0"/>
            </w:tcBorders>
            <w:vAlign w:val="center"/>
          </w:tcPr>
          <w:p w14:paraId="5562411B">
            <w:pPr>
              <w:widowControl/>
              <w:jc w:val="center"/>
              <w:rPr>
                <w:rFonts w:hint="eastAsia" w:ascii="宋体" w:hAnsi="宋体" w:cs="宋体"/>
                <w:color w:val="000000"/>
                <w:kern w:val="0"/>
                <w:szCs w:val="21"/>
              </w:rPr>
            </w:pPr>
          </w:p>
        </w:tc>
        <w:tc>
          <w:tcPr>
            <w:tcW w:w="1506" w:type="dxa"/>
            <w:vMerge w:val="restart"/>
            <w:tcBorders>
              <w:top w:val="nil"/>
              <w:left w:val="single" w:color="auto" w:sz="4" w:space="0"/>
              <w:bottom w:val="single" w:color="000000" w:sz="4" w:space="0"/>
              <w:right w:val="single" w:color="auto" w:sz="4" w:space="0"/>
            </w:tcBorders>
            <w:vAlign w:val="center"/>
          </w:tcPr>
          <w:p w14:paraId="35688B1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06C25348">
        <w:tblPrEx>
          <w:tblCellMar>
            <w:top w:w="0" w:type="dxa"/>
            <w:left w:w="108" w:type="dxa"/>
            <w:bottom w:w="0" w:type="dxa"/>
            <w:right w:w="108" w:type="dxa"/>
          </w:tblCellMar>
        </w:tblPrEx>
        <w:trPr>
          <w:trHeight w:val="419" w:hRule="atLeast"/>
        </w:trPr>
        <w:tc>
          <w:tcPr>
            <w:tcW w:w="1420" w:type="dxa"/>
            <w:vMerge w:val="continue"/>
            <w:tcBorders>
              <w:top w:val="nil"/>
              <w:left w:val="single" w:color="auto" w:sz="4" w:space="0"/>
              <w:bottom w:val="single" w:color="000000" w:sz="4" w:space="0"/>
              <w:right w:val="single" w:color="auto" w:sz="4" w:space="0"/>
            </w:tcBorders>
            <w:vAlign w:val="center"/>
          </w:tcPr>
          <w:p w14:paraId="52466CDB">
            <w:pPr>
              <w:widowControl/>
              <w:jc w:val="left"/>
              <w:rPr>
                <w:rFonts w:hint="eastAsia" w:ascii="宋体" w:hAnsi="宋体" w:cs="宋体"/>
                <w:color w:val="000000"/>
                <w:kern w:val="0"/>
                <w:szCs w:val="21"/>
              </w:rPr>
            </w:pPr>
          </w:p>
        </w:tc>
        <w:tc>
          <w:tcPr>
            <w:tcW w:w="1760" w:type="dxa"/>
            <w:tcBorders>
              <w:top w:val="nil"/>
              <w:left w:val="nil"/>
              <w:bottom w:val="single" w:color="auto" w:sz="4" w:space="0"/>
              <w:right w:val="single" w:color="auto" w:sz="4" w:space="0"/>
            </w:tcBorders>
            <w:vAlign w:val="center"/>
          </w:tcPr>
          <w:p w14:paraId="72CADFC1">
            <w:pPr>
              <w:widowControl/>
              <w:jc w:val="right"/>
              <w:rPr>
                <w:rFonts w:hint="eastAsia" w:ascii="宋体" w:hAnsi="宋体" w:cs="宋体"/>
                <w:color w:val="000000"/>
                <w:kern w:val="0"/>
                <w:szCs w:val="21"/>
              </w:rPr>
            </w:pPr>
            <w:r>
              <w:rPr>
                <w:rFonts w:hint="eastAsia" w:ascii="宋体" w:hAnsi="宋体" w:cs="宋体"/>
                <w:color w:val="000000"/>
                <w:kern w:val="0"/>
                <w:szCs w:val="21"/>
              </w:rPr>
              <w:t>项目管理费</w:t>
            </w:r>
          </w:p>
        </w:tc>
        <w:tc>
          <w:tcPr>
            <w:tcW w:w="3000" w:type="dxa"/>
            <w:gridSpan w:val="2"/>
            <w:tcBorders>
              <w:top w:val="single" w:color="auto" w:sz="4" w:space="0"/>
              <w:left w:val="nil"/>
              <w:bottom w:val="single" w:color="auto" w:sz="4" w:space="0"/>
              <w:right w:val="single" w:color="auto" w:sz="4" w:space="0"/>
            </w:tcBorders>
            <w:vAlign w:val="center"/>
          </w:tcPr>
          <w:p w14:paraId="6BF6D2EA">
            <w:pPr>
              <w:widowControl/>
              <w:jc w:val="center"/>
              <w:rPr>
                <w:rFonts w:hint="eastAsia" w:ascii="宋体" w:hAnsi="宋体" w:cs="宋体"/>
                <w:color w:val="000000"/>
                <w:kern w:val="0"/>
                <w:szCs w:val="21"/>
              </w:rPr>
            </w:pPr>
          </w:p>
        </w:tc>
        <w:tc>
          <w:tcPr>
            <w:tcW w:w="1240" w:type="dxa"/>
            <w:tcBorders>
              <w:top w:val="nil"/>
              <w:left w:val="nil"/>
              <w:bottom w:val="single" w:color="auto" w:sz="4" w:space="0"/>
              <w:right w:val="single" w:color="auto" w:sz="4" w:space="0"/>
            </w:tcBorders>
            <w:vAlign w:val="center"/>
          </w:tcPr>
          <w:p w14:paraId="7706591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vMerge w:val="continue"/>
            <w:tcBorders>
              <w:top w:val="nil"/>
              <w:left w:val="single" w:color="auto" w:sz="4" w:space="0"/>
              <w:bottom w:val="single" w:color="000000" w:sz="4" w:space="0"/>
              <w:right w:val="single" w:color="auto" w:sz="4" w:space="0"/>
            </w:tcBorders>
            <w:vAlign w:val="center"/>
          </w:tcPr>
          <w:p w14:paraId="49957BFC">
            <w:pPr>
              <w:widowControl/>
              <w:jc w:val="left"/>
              <w:rPr>
                <w:rFonts w:hint="eastAsia" w:ascii="宋体" w:hAnsi="宋体" w:cs="宋体"/>
                <w:color w:val="000000"/>
                <w:kern w:val="0"/>
                <w:szCs w:val="21"/>
              </w:rPr>
            </w:pPr>
          </w:p>
        </w:tc>
      </w:tr>
      <w:tr w14:paraId="01C0FC21">
        <w:tblPrEx>
          <w:tblCellMar>
            <w:top w:w="0" w:type="dxa"/>
            <w:left w:w="108" w:type="dxa"/>
            <w:bottom w:w="0" w:type="dxa"/>
            <w:right w:w="108" w:type="dxa"/>
          </w:tblCellMar>
        </w:tblPrEx>
        <w:trPr>
          <w:trHeight w:val="419" w:hRule="atLeast"/>
        </w:trPr>
        <w:tc>
          <w:tcPr>
            <w:tcW w:w="1420" w:type="dxa"/>
            <w:tcBorders>
              <w:top w:val="nil"/>
              <w:left w:val="single" w:color="auto" w:sz="4" w:space="0"/>
              <w:bottom w:val="single" w:color="auto" w:sz="4" w:space="0"/>
              <w:right w:val="single" w:color="auto" w:sz="4" w:space="0"/>
            </w:tcBorders>
            <w:vAlign w:val="center"/>
          </w:tcPr>
          <w:p w14:paraId="6801B7BD">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1760" w:type="dxa"/>
            <w:tcBorders>
              <w:top w:val="nil"/>
              <w:left w:val="nil"/>
              <w:bottom w:val="single" w:color="auto" w:sz="4" w:space="0"/>
              <w:right w:val="single" w:color="auto" w:sz="4" w:space="0"/>
            </w:tcBorders>
            <w:vAlign w:val="center"/>
          </w:tcPr>
          <w:p w14:paraId="24F2AB8C">
            <w:pPr>
              <w:widowControl/>
              <w:jc w:val="right"/>
              <w:rPr>
                <w:rFonts w:hint="eastAsia" w:ascii="宋体" w:hAnsi="宋体" w:cs="宋体"/>
                <w:color w:val="000000"/>
                <w:kern w:val="0"/>
                <w:szCs w:val="21"/>
              </w:rPr>
            </w:pPr>
            <w:r>
              <w:rPr>
                <w:rFonts w:hint="eastAsia" w:ascii="宋体" w:hAnsi="宋体" w:cs="宋体"/>
                <w:color w:val="000000"/>
                <w:kern w:val="0"/>
                <w:szCs w:val="21"/>
              </w:rPr>
              <w:t>牵头费</w:t>
            </w:r>
          </w:p>
        </w:tc>
        <w:tc>
          <w:tcPr>
            <w:tcW w:w="3000" w:type="dxa"/>
            <w:gridSpan w:val="2"/>
            <w:tcBorders>
              <w:top w:val="single" w:color="auto" w:sz="4" w:space="0"/>
              <w:left w:val="nil"/>
              <w:bottom w:val="single" w:color="auto" w:sz="4" w:space="0"/>
              <w:right w:val="single" w:color="auto" w:sz="4" w:space="0"/>
            </w:tcBorders>
            <w:vAlign w:val="center"/>
          </w:tcPr>
          <w:p w14:paraId="0CABE431">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1240" w:type="dxa"/>
            <w:tcBorders>
              <w:top w:val="nil"/>
              <w:left w:val="nil"/>
              <w:bottom w:val="single" w:color="auto" w:sz="4" w:space="0"/>
              <w:right w:val="single" w:color="auto" w:sz="4" w:space="0"/>
            </w:tcBorders>
            <w:vAlign w:val="center"/>
          </w:tcPr>
          <w:p w14:paraId="395DE67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tcBorders>
              <w:top w:val="nil"/>
              <w:left w:val="nil"/>
              <w:bottom w:val="single" w:color="auto" w:sz="4" w:space="0"/>
              <w:right w:val="single" w:color="auto" w:sz="4" w:space="0"/>
            </w:tcBorders>
            <w:vAlign w:val="center"/>
          </w:tcPr>
          <w:p w14:paraId="625F6C0C">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74C7DCCE">
        <w:tblPrEx>
          <w:tblCellMar>
            <w:top w:w="0" w:type="dxa"/>
            <w:left w:w="108" w:type="dxa"/>
            <w:bottom w:w="0" w:type="dxa"/>
            <w:right w:w="108" w:type="dxa"/>
          </w:tblCellMar>
        </w:tblPrEx>
        <w:trPr>
          <w:trHeight w:val="419" w:hRule="atLeast"/>
        </w:trPr>
        <w:tc>
          <w:tcPr>
            <w:tcW w:w="1420" w:type="dxa"/>
            <w:tcBorders>
              <w:top w:val="nil"/>
              <w:left w:val="single" w:color="auto" w:sz="4" w:space="0"/>
              <w:bottom w:val="single" w:color="auto" w:sz="4" w:space="0"/>
              <w:right w:val="single" w:color="auto" w:sz="4" w:space="0"/>
            </w:tcBorders>
            <w:vAlign w:val="center"/>
          </w:tcPr>
          <w:p w14:paraId="63952373">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1760" w:type="dxa"/>
            <w:tcBorders>
              <w:top w:val="nil"/>
              <w:left w:val="nil"/>
              <w:bottom w:val="single" w:color="auto" w:sz="4" w:space="0"/>
              <w:right w:val="single" w:color="auto" w:sz="4" w:space="0"/>
            </w:tcBorders>
            <w:vAlign w:val="center"/>
          </w:tcPr>
          <w:p w14:paraId="6B7DEC16">
            <w:pPr>
              <w:widowControl/>
              <w:jc w:val="right"/>
              <w:rPr>
                <w:rFonts w:hint="eastAsia" w:ascii="宋体" w:hAnsi="宋体" w:cs="宋体"/>
                <w:color w:val="000000"/>
                <w:kern w:val="0"/>
                <w:szCs w:val="21"/>
              </w:rPr>
            </w:pPr>
            <w:r>
              <w:rPr>
                <w:rFonts w:hint="eastAsia" w:ascii="宋体" w:hAnsi="宋体" w:cs="宋体"/>
                <w:color w:val="000000"/>
                <w:kern w:val="0"/>
                <w:szCs w:val="21"/>
              </w:rPr>
              <w:t>税费</w:t>
            </w:r>
          </w:p>
        </w:tc>
        <w:tc>
          <w:tcPr>
            <w:tcW w:w="3000" w:type="dxa"/>
            <w:gridSpan w:val="2"/>
            <w:tcBorders>
              <w:top w:val="single" w:color="auto" w:sz="4" w:space="0"/>
              <w:left w:val="nil"/>
              <w:bottom w:val="single" w:color="auto" w:sz="4" w:space="0"/>
              <w:right w:val="single" w:color="auto" w:sz="4" w:space="0"/>
            </w:tcBorders>
            <w:vAlign w:val="center"/>
          </w:tcPr>
          <w:p w14:paraId="58D6FBC1">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240" w:type="dxa"/>
            <w:tcBorders>
              <w:top w:val="nil"/>
              <w:left w:val="nil"/>
              <w:bottom w:val="single" w:color="auto" w:sz="4" w:space="0"/>
              <w:right w:val="single" w:color="auto" w:sz="4" w:space="0"/>
            </w:tcBorders>
            <w:vAlign w:val="center"/>
          </w:tcPr>
          <w:p w14:paraId="4A850D61">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506" w:type="dxa"/>
            <w:tcBorders>
              <w:top w:val="nil"/>
              <w:left w:val="nil"/>
              <w:bottom w:val="single" w:color="auto" w:sz="4" w:space="0"/>
              <w:right w:val="single" w:color="auto" w:sz="4" w:space="0"/>
            </w:tcBorders>
            <w:vAlign w:val="center"/>
          </w:tcPr>
          <w:p w14:paraId="6D5F1C2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0B06829">
        <w:tblPrEx>
          <w:tblCellMar>
            <w:top w:w="0" w:type="dxa"/>
            <w:left w:w="108" w:type="dxa"/>
            <w:bottom w:w="0" w:type="dxa"/>
            <w:right w:w="108" w:type="dxa"/>
          </w:tblCellMar>
        </w:tblPrEx>
        <w:trPr>
          <w:trHeight w:val="419" w:hRule="atLeast"/>
        </w:trPr>
        <w:tc>
          <w:tcPr>
            <w:tcW w:w="7420" w:type="dxa"/>
            <w:gridSpan w:val="5"/>
            <w:tcBorders>
              <w:top w:val="single" w:color="auto" w:sz="4" w:space="0"/>
              <w:left w:val="single" w:color="auto" w:sz="4" w:space="0"/>
              <w:bottom w:val="single" w:color="auto" w:sz="4" w:space="0"/>
              <w:right w:val="single" w:color="000000" w:sz="4" w:space="0"/>
            </w:tcBorders>
            <w:noWrap/>
            <w:vAlign w:val="center"/>
          </w:tcPr>
          <w:p w14:paraId="326EC68B">
            <w:pPr>
              <w:widowControl/>
              <w:jc w:val="center"/>
              <w:rPr>
                <w:rFonts w:hint="eastAsia" w:ascii="宋体" w:hAnsi="宋体" w:cs="宋体"/>
                <w:color w:val="000000"/>
                <w:kern w:val="0"/>
                <w:szCs w:val="21"/>
              </w:rPr>
            </w:pPr>
            <w:r>
              <w:rPr>
                <w:rFonts w:hint="eastAsia" w:ascii="宋体" w:hAnsi="宋体" w:cs="宋体"/>
                <w:color w:val="000000"/>
                <w:kern w:val="0"/>
                <w:szCs w:val="21"/>
              </w:rPr>
              <w:t>合同总费用</w:t>
            </w:r>
          </w:p>
        </w:tc>
        <w:tc>
          <w:tcPr>
            <w:tcW w:w="1506" w:type="dxa"/>
            <w:tcBorders>
              <w:top w:val="nil"/>
              <w:left w:val="nil"/>
              <w:bottom w:val="single" w:color="auto" w:sz="4" w:space="0"/>
              <w:right w:val="single" w:color="auto" w:sz="4" w:space="0"/>
            </w:tcBorders>
            <w:noWrap/>
            <w:vAlign w:val="center"/>
          </w:tcPr>
          <w:p w14:paraId="5EC39823">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r>
    </w:tbl>
    <w:p w14:paraId="5A98A085">
      <w:pPr>
        <w:widowControl/>
        <w:spacing w:line="440" w:lineRule="exact"/>
        <w:jc w:val="left"/>
        <w:rPr>
          <w:rFonts w:hint="eastAsia" w:ascii="宋体" w:hAnsi="Wingdings" w:cs="宋体"/>
          <w:color w:val="000000"/>
          <w:kern w:val="0"/>
          <w:sz w:val="22"/>
          <w:szCs w:val="21"/>
        </w:rPr>
      </w:pPr>
      <w:r>
        <w:rPr>
          <w:rFonts w:hint="eastAsia" w:ascii="宋体" w:hAnsi="Wingdings" w:cs="宋体"/>
          <w:color w:val="000000"/>
          <w:kern w:val="0"/>
          <w:sz w:val="22"/>
          <w:szCs w:val="21"/>
        </w:rPr>
        <w:t>支付方式：</w:t>
      </w:r>
    </w:p>
    <w:p w14:paraId="2C52EDED">
      <w:pPr>
        <w:widowControl/>
        <w:spacing w:line="440" w:lineRule="exact"/>
        <w:jc w:val="left"/>
        <w:rPr>
          <w:rFonts w:hint="eastAsia" w:ascii="宋体" w:hAnsi="Wingdings" w:cs="宋体"/>
          <w:color w:val="000000"/>
          <w:kern w:val="0"/>
          <w:sz w:val="22"/>
          <w:szCs w:val="21"/>
        </w:rPr>
      </w:pPr>
      <w:r>
        <w:rPr>
          <w:rFonts w:hint="eastAsia" w:ascii="宋体" w:hAnsi="Wingdings" w:cs="宋体"/>
          <w:color w:val="000000"/>
          <w:kern w:val="0"/>
          <w:sz w:val="22"/>
          <w:szCs w:val="21"/>
        </w:rPr>
        <w:t>1)</w:t>
      </w:r>
      <w:r>
        <w:rPr>
          <w:rFonts w:hint="eastAsia" w:ascii="宋体" w:hAnsi="Wingdings" w:cs="宋体"/>
          <w:color w:val="000000"/>
          <w:kern w:val="0"/>
          <w:sz w:val="22"/>
          <w:szCs w:val="21"/>
        </w:rPr>
        <w:tab/>
      </w:r>
      <w:r>
        <w:rPr>
          <w:rFonts w:hint="eastAsia" w:ascii="宋体" w:hAnsi="Wingdings" w:cs="宋体"/>
          <w:color w:val="000000"/>
          <w:kern w:val="0"/>
          <w:sz w:val="22"/>
          <w:szCs w:val="21"/>
        </w:rPr>
        <w:t>首付款：支付牵头费用的30% +1例受试者前3次访视费用（包含研究者费、受试者费、医院管理费）+第一年项目管理费+税费，共计    元；</w:t>
      </w:r>
    </w:p>
    <w:p w14:paraId="047E6E40">
      <w:pPr>
        <w:widowControl/>
        <w:spacing w:line="440" w:lineRule="exact"/>
        <w:jc w:val="left"/>
        <w:rPr>
          <w:rFonts w:hint="eastAsia" w:ascii="宋体" w:hAnsi="Wingdings" w:cs="宋体"/>
          <w:color w:val="000000"/>
          <w:kern w:val="0"/>
          <w:sz w:val="22"/>
          <w:szCs w:val="21"/>
        </w:rPr>
      </w:pPr>
      <w:r>
        <w:rPr>
          <w:rFonts w:hint="eastAsia" w:ascii="宋体" w:hAnsi="Wingdings" w:cs="宋体"/>
          <w:color w:val="000000"/>
          <w:kern w:val="0"/>
          <w:sz w:val="22"/>
          <w:szCs w:val="21"/>
        </w:rPr>
        <w:t>2)</w:t>
      </w:r>
      <w:r>
        <w:rPr>
          <w:rFonts w:hint="eastAsia" w:ascii="宋体" w:hAnsi="Wingdings" w:cs="宋体"/>
          <w:color w:val="000000"/>
          <w:kern w:val="0"/>
          <w:sz w:val="22"/>
          <w:szCs w:val="21"/>
        </w:rPr>
        <w:tab/>
      </w:r>
      <w:r>
        <w:rPr>
          <w:rFonts w:hint="eastAsia" w:ascii="宋体" w:hAnsi="Wingdings" w:cs="宋体"/>
          <w:color w:val="000000"/>
          <w:kern w:val="0"/>
          <w:sz w:val="22"/>
          <w:szCs w:val="21"/>
        </w:rPr>
        <w:t>后期每季度根据项目进展支付；如受试者费用不足，付款方应根据研究机构要求随时支付相关费用，支付方保留每次所支付费用的明细；</w:t>
      </w:r>
    </w:p>
    <w:p w14:paraId="015835DE">
      <w:pPr>
        <w:widowControl/>
        <w:spacing w:line="440" w:lineRule="exact"/>
        <w:jc w:val="left"/>
        <w:rPr>
          <w:rFonts w:hint="eastAsia" w:ascii="宋体" w:hAnsi="Wingdings" w:cs="宋体"/>
          <w:color w:val="000000"/>
          <w:kern w:val="0"/>
          <w:sz w:val="22"/>
          <w:szCs w:val="21"/>
        </w:rPr>
      </w:pPr>
      <w:r>
        <w:rPr>
          <w:rFonts w:hint="eastAsia" w:ascii="宋体" w:hAnsi="Wingdings" w:cs="宋体"/>
          <w:color w:val="000000"/>
          <w:kern w:val="0"/>
          <w:sz w:val="22"/>
          <w:szCs w:val="21"/>
        </w:rPr>
        <w:t>3)</w:t>
      </w:r>
      <w:r>
        <w:rPr>
          <w:rFonts w:hint="eastAsia" w:ascii="宋体" w:hAnsi="Wingdings" w:cs="宋体"/>
          <w:color w:val="000000"/>
          <w:kern w:val="0"/>
          <w:sz w:val="22"/>
          <w:szCs w:val="21"/>
        </w:rPr>
        <w:tab/>
      </w:r>
      <w:r>
        <w:rPr>
          <w:rFonts w:hint="eastAsia" w:ascii="宋体" w:hAnsi="Wingdings" w:cs="宋体"/>
          <w:color w:val="000000"/>
          <w:kern w:val="0"/>
          <w:sz w:val="22"/>
          <w:szCs w:val="21"/>
        </w:rPr>
        <w:t>项目因故终止，已支付的管理费和牵头费不予退还，其余费用据实结算，多退少补。</w:t>
      </w:r>
    </w:p>
    <w:p w14:paraId="301723FF">
      <w:pPr>
        <w:widowControl/>
        <w:spacing w:line="440" w:lineRule="exact"/>
        <w:jc w:val="left"/>
        <w:rPr>
          <w:rFonts w:hint="eastAsia" w:ascii="宋体" w:hAnsi="Wingdings" w:cs="宋体"/>
          <w:color w:val="000000"/>
          <w:kern w:val="0"/>
          <w:sz w:val="22"/>
          <w:szCs w:val="21"/>
        </w:rPr>
      </w:pPr>
    </w:p>
    <w:p w14:paraId="02CCB6C6">
      <w:pPr>
        <w:pStyle w:val="13"/>
        <w:numPr>
          <w:ilvl w:val="0"/>
          <w:numId w:val="2"/>
        </w:numPr>
        <w:spacing w:line="440" w:lineRule="exact"/>
        <w:ind w:firstLineChars="0"/>
        <w:rPr>
          <w:rFonts w:hint="eastAsia" w:ascii="宋体" w:hAnsi="Wingdings" w:cs="宋体"/>
          <w:b/>
          <w:color w:val="000000"/>
          <w:kern w:val="0"/>
          <w:sz w:val="22"/>
          <w:szCs w:val="21"/>
        </w:rPr>
      </w:pPr>
      <w:r>
        <w:rPr>
          <w:rFonts w:hint="eastAsia" w:ascii="宋体" w:hAnsi="Wingdings" w:cs="宋体"/>
          <w:b/>
          <w:color w:val="000000"/>
          <w:kern w:val="0"/>
          <w:sz w:val="22"/>
          <w:szCs w:val="21"/>
        </w:rPr>
        <w:t>研究机构账号</w:t>
      </w:r>
    </w:p>
    <w:p w14:paraId="028C6D56">
      <w:pPr>
        <w:spacing w:line="440" w:lineRule="exact"/>
        <w:ind w:firstLine="418" w:firstLineChars="190"/>
        <w:rPr>
          <w:rFonts w:hint="eastAsia" w:ascii="宋体" w:hAnsi="Wingdings" w:cs="宋体"/>
          <w:color w:val="000000"/>
          <w:kern w:val="0"/>
          <w:sz w:val="22"/>
          <w:szCs w:val="21"/>
        </w:rPr>
      </w:pPr>
      <w:r>
        <w:rPr>
          <w:rFonts w:hint="eastAsia" w:ascii="宋体" w:hAnsi="Wingdings" w:cs="宋体"/>
          <w:color w:val="000000"/>
          <w:kern w:val="0"/>
          <w:sz w:val="22"/>
          <w:szCs w:val="21"/>
        </w:rPr>
        <w:t>户名：中国医学科学院血液病医院（中国医学科学院血液学研究所）</w:t>
      </w:r>
    </w:p>
    <w:p w14:paraId="604B3C32">
      <w:pPr>
        <w:spacing w:line="440" w:lineRule="exact"/>
        <w:ind w:firstLine="418" w:firstLineChars="190"/>
        <w:rPr>
          <w:rFonts w:hint="eastAsia" w:ascii="宋体" w:hAnsi="Wingdings" w:cs="宋体"/>
          <w:color w:val="000000"/>
          <w:kern w:val="0"/>
          <w:sz w:val="22"/>
          <w:szCs w:val="21"/>
        </w:rPr>
      </w:pPr>
      <w:r>
        <w:rPr>
          <w:rFonts w:hint="eastAsia" w:ascii="宋体" w:hAnsi="Wingdings" w:cs="宋体"/>
          <w:color w:val="000000"/>
          <w:kern w:val="0"/>
          <w:sz w:val="22"/>
          <w:szCs w:val="21"/>
        </w:rPr>
        <w:t>账号：0302010809008809285</w:t>
      </w:r>
    </w:p>
    <w:p w14:paraId="415128FB">
      <w:pPr>
        <w:spacing w:line="440" w:lineRule="exact"/>
        <w:ind w:firstLine="418" w:firstLineChars="190"/>
        <w:rPr>
          <w:rFonts w:hint="eastAsia" w:ascii="宋体" w:hAnsi="Wingdings" w:cs="宋体"/>
          <w:color w:val="000000"/>
          <w:kern w:val="0"/>
          <w:sz w:val="22"/>
          <w:szCs w:val="21"/>
        </w:rPr>
      </w:pPr>
      <w:r>
        <w:rPr>
          <w:rFonts w:hint="eastAsia" w:ascii="宋体" w:hAnsi="Wingdings" w:cs="宋体"/>
          <w:color w:val="000000"/>
          <w:kern w:val="0"/>
          <w:sz w:val="22"/>
          <w:szCs w:val="21"/>
        </w:rPr>
        <w:t>开户行名称：中国工商银行天津市分行兰州道支行</w:t>
      </w:r>
    </w:p>
    <w:p w14:paraId="619E0577">
      <w:pPr>
        <w:pStyle w:val="13"/>
        <w:spacing w:line="440" w:lineRule="exact"/>
        <w:ind w:left="420" w:firstLine="0" w:firstLineChars="0"/>
        <w:rPr>
          <w:rFonts w:hint="eastAsia" w:ascii="宋体" w:hAnsi="Wingdings" w:cs="宋体"/>
          <w:color w:val="000000"/>
          <w:kern w:val="0"/>
          <w:sz w:val="22"/>
          <w:szCs w:val="21"/>
        </w:rPr>
      </w:pPr>
      <w:r>
        <w:rPr>
          <w:rFonts w:hint="eastAsia" w:ascii="宋体" w:hAnsi="Wingdings" w:cs="宋体"/>
          <w:color w:val="000000"/>
          <w:kern w:val="0"/>
          <w:sz w:val="22"/>
          <w:szCs w:val="21"/>
        </w:rPr>
        <w:t>开户行地址：中国天津市和平区兰州道15号</w:t>
      </w:r>
    </w:p>
    <w:p w14:paraId="06448FBC">
      <w:pPr>
        <w:spacing w:line="360" w:lineRule="auto"/>
        <w:ind w:left="420"/>
        <w:rPr>
          <w:rFonts w:hint="eastAsia" w:ascii="宋体" w:hAnsi="宋体" w:cs="宋体"/>
          <w:color w:val="000000"/>
          <w:kern w:val="0"/>
          <w:sz w:val="22"/>
        </w:rPr>
      </w:pPr>
      <w:r>
        <w:rPr>
          <w:rFonts w:hint="eastAsia" w:ascii="宋体" w:hAnsi="宋体" w:cs="宋体"/>
          <w:color w:val="000000"/>
          <w:kern w:val="0"/>
          <w:sz w:val="22"/>
        </w:rPr>
        <w:t>汇款附言要求：入</w:t>
      </w:r>
      <w:commentRangeStart w:id="0"/>
      <w:r>
        <w:rPr>
          <w:rFonts w:hint="eastAsia" w:ascii="宋体" w:hAnsi="宋体" w:cs="宋体"/>
          <w:color w:val="000000"/>
          <w:kern w:val="0"/>
          <w:sz w:val="22"/>
          <w:highlight w:val="yellow"/>
        </w:rPr>
        <w:t>课题号</w:t>
      </w:r>
      <w:r>
        <w:rPr>
          <w:rFonts w:hint="eastAsia" w:ascii="宋体" w:hAnsi="宋体" w:cs="宋体"/>
          <w:color w:val="000000"/>
          <w:kern w:val="0"/>
          <w:sz w:val="22"/>
        </w:rPr>
        <w:t>#_</w:t>
      </w:r>
      <w:r>
        <w:rPr>
          <w:rFonts w:hint="eastAsia" w:ascii="宋体" w:hAnsi="宋体" w:cs="宋体"/>
          <w:color w:val="000000"/>
          <w:kern w:val="0"/>
          <w:sz w:val="22"/>
          <w:highlight w:val="yellow"/>
        </w:rPr>
        <w:t>方案编号</w:t>
      </w:r>
      <w:commentRangeEnd w:id="0"/>
      <w:r>
        <w:rPr>
          <w:rStyle w:val="11"/>
        </w:rPr>
        <w:commentReference w:id="0"/>
      </w:r>
    </w:p>
    <w:p w14:paraId="0F4AC92F">
      <w:pPr>
        <w:pStyle w:val="13"/>
        <w:numPr>
          <w:ilvl w:val="0"/>
          <w:numId w:val="2"/>
        </w:numPr>
        <w:spacing w:line="440" w:lineRule="exact"/>
        <w:ind w:firstLineChars="0"/>
        <w:rPr>
          <w:rFonts w:hint="eastAsia" w:ascii="宋体" w:hAnsi="Wingdings" w:cs="宋体"/>
          <w:b/>
          <w:color w:val="000000"/>
          <w:kern w:val="0"/>
          <w:sz w:val="22"/>
          <w:szCs w:val="21"/>
        </w:rPr>
      </w:pPr>
      <w:r>
        <w:rPr>
          <w:rFonts w:hint="eastAsia" w:ascii="宋体" w:hAnsi="Wingdings" w:cs="宋体"/>
          <w:b/>
          <w:color w:val="000000"/>
          <w:kern w:val="0"/>
          <w:sz w:val="22"/>
          <w:szCs w:val="21"/>
        </w:rPr>
        <w:t>设备提供</w:t>
      </w:r>
    </w:p>
    <w:p w14:paraId="4314D828">
      <w:pPr>
        <w:pStyle w:val="13"/>
        <w:autoSpaceDE w:val="0"/>
        <w:autoSpaceDN w:val="0"/>
        <w:adjustRightInd w:val="0"/>
        <w:spacing w:line="440" w:lineRule="exact"/>
        <w:ind w:left="420" w:firstLine="0" w:firstLineChars="0"/>
        <w:jc w:val="left"/>
        <w:rPr>
          <w:rFonts w:hint="eastAsia" w:ascii="宋体" w:hAnsi="Wingdings" w:cs="宋体"/>
          <w:color w:val="000000"/>
          <w:kern w:val="0"/>
          <w:sz w:val="22"/>
          <w:szCs w:val="21"/>
        </w:rPr>
      </w:pPr>
      <w:r>
        <w:rPr>
          <w:rFonts w:hint="eastAsia" w:ascii="宋体" w:hAnsi="Wingdings" w:cs="宋体"/>
          <w:color w:val="000000"/>
          <w:kern w:val="0"/>
          <w:sz w:val="22"/>
          <w:szCs w:val="21"/>
        </w:rPr>
        <w:t>申办者将根据工作需要向研究者提供：XXX</w:t>
      </w:r>
      <w:r>
        <w:rPr>
          <w:rFonts w:hint="eastAsia" w:ascii="宋体" w:hAnsi="Arial" w:cs="宋体"/>
          <w:color w:val="000000"/>
          <w:kern w:val="0"/>
          <w:sz w:val="22"/>
          <w:szCs w:val="21"/>
        </w:rPr>
        <w:t>，申办者确保设备能够正常使用，</w:t>
      </w:r>
      <w:r>
        <w:rPr>
          <w:rFonts w:hint="eastAsia" w:ascii="宋体" w:hAnsi="Wingdings" w:cs="宋体"/>
          <w:color w:val="000000"/>
          <w:kern w:val="0"/>
          <w:sz w:val="22"/>
          <w:szCs w:val="21"/>
        </w:rPr>
        <w:t>试验在研究机构终止后，研究相关设备将根据申办者的指示归还申办者。</w:t>
      </w:r>
    </w:p>
    <w:p w14:paraId="11B54655">
      <w:pPr>
        <w:widowControl/>
        <w:jc w:val="left"/>
        <w:rPr>
          <w:rFonts w:hint="eastAsia" w:cs="F4,Bold" w:asciiTheme="minorEastAsia" w:hAnsiTheme="minorEastAsia" w:eastAsiaTheme="minorEastAsia"/>
          <w:b/>
          <w:bCs/>
          <w:color w:val="000000"/>
          <w:kern w:val="0"/>
          <w:szCs w:val="21"/>
        </w:rPr>
      </w:pPr>
      <w:r>
        <w:rPr>
          <w:rFonts w:cs="F4,Bold" w:asciiTheme="minorEastAsia" w:hAnsiTheme="minorEastAsia" w:eastAsiaTheme="minorEastAsia"/>
          <w:b/>
          <w:bCs/>
          <w:color w:val="000000"/>
          <w:kern w:val="0"/>
          <w:szCs w:val="21"/>
        </w:rPr>
        <w:br w:type="page"/>
      </w:r>
    </w:p>
    <w:p w14:paraId="7257EF83">
      <w:pPr>
        <w:spacing w:line="360" w:lineRule="exact"/>
        <w:jc w:val="center"/>
        <w:rPr>
          <w:b/>
          <w:sz w:val="32"/>
          <w:szCs w:val="21"/>
        </w:rPr>
      </w:pPr>
      <w:r>
        <w:rPr>
          <w:rFonts w:hint="eastAsia" w:cs="F4,Bold" w:asciiTheme="minorEastAsia" w:hAnsiTheme="minorEastAsia" w:eastAsiaTheme="minorEastAsia"/>
          <w:b/>
          <w:bCs/>
          <w:color w:val="000000"/>
          <w:kern w:val="0"/>
          <w:sz w:val="24"/>
          <w:szCs w:val="21"/>
        </w:rPr>
        <w:t>附件</w:t>
      </w:r>
      <w:r>
        <w:rPr>
          <w:rFonts w:hint="eastAsia" w:cs="Arial-BoldMT" w:asciiTheme="minorEastAsia" w:hAnsiTheme="minorEastAsia" w:eastAsiaTheme="minorEastAsia"/>
          <w:b/>
          <w:bCs/>
          <w:color w:val="000000"/>
          <w:kern w:val="0"/>
          <w:sz w:val="24"/>
          <w:szCs w:val="21"/>
        </w:rPr>
        <w:t>B</w:t>
      </w:r>
      <w:r>
        <w:rPr>
          <w:rFonts w:hint="eastAsia" w:cs="F4,Bold" w:asciiTheme="minorEastAsia" w:hAnsiTheme="minorEastAsia" w:eastAsiaTheme="minorEastAsia"/>
          <w:b/>
          <w:bCs/>
          <w:color w:val="000000"/>
          <w:kern w:val="0"/>
          <w:sz w:val="24"/>
          <w:szCs w:val="21"/>
        </w:rPr>
        <w:t>：中国人类遗传资源要求</w:t>
      </w:r>
    </w:p>
    <w:p w14:paraId="328C5D1E">
      <w:pPr>
        <w:widowControl/>
        <w:jc w:val="left"/>
        <w:rPr>
          <w:rFonts w:hint="eastAsia" w:cs="F4,Bold" w:asciiTheme="minorEastAsia" w:hAnsiTheme="minorEastAsia" w:eastAsiaTheme="minorEastAsia"/>
          <w:b/>
          <w:bCs/>
          <w:color w:val="000000"/>
          <w:kern w:val="0"/>
          <w:szCs w:val="21"/>
        </w:rPr>
      </w:pPr>
    </w:p>
    <w:p w14:paraId="4DDD0A5C">
      <w:pPr>
        <w:widowControl/>
        <w:spacing w:line="288" w:lineRule="auto"/>
        <w:ind w:firstLine="440" w:firstLineChars="200"/>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对于临床试验中涉及受试者血液标本运至中心实验室进行检测的有关事宜，为保证符合伦理要求及中国政府关于遗传资源的管理规定，经双方共同协商，达成如下协议：</w:t>
      </w:r>
    </w:p>
    <w:p w14:paraId="33E349AF">
      <w:pPr>
        <w:widowControl/>
        <w:spacing w:line="288" w:lineRule="auto"/>
        <w:jc w:val="left"/>
        <w:rPr>
          <w:rFonts w:hint="eastAsia" w:cs="F4,Bold" w:asciiTheme="minorEastAsia" w:hAnsiTheme="minorEastAsia" w:eastAsiaTheme="minorEastAsia"/>
          <w:bCs/>
          <w:color w:val="000000"/>
          <w:kern w:val="0"/>
          <w:sz w:val="22"/>
          <w:szCs w:val="21"/>
        </w:rPr>
      </w:pPr>
    </w:p>
    <w:p w14:paraId="318E8562">
      <w:pPr>
        <w:pStyle w:val="13"/>
        <w:widowControl/>
        <w:numPr>
          <w:ilvl w:val="0"/>
          <w:numId w:val="3"/>
        </w:numPr>
        <w:spacing w:line="288" w:lineRule="auto"/>
        <w:ind w:firstLine="0" w:firstLineChars="0"/>
        <w:jc w:val="left"/>
        <w:rPr>
          <w:rFonts w:hint="eastAsia" w:cs="F4,Bold" w:asciiTheme="minorEastAsia" w:hAnsiTheme="minorEastAsia" w:eastAsiaTheme="minorEastAsia"/>
          <w:bCs/>
          <w:color w:val="000000"/>
          <w:kern w:val="0"/>
          <w:sz w:val="22"/>
          <w:szCs w:val="21"/>
          <w:u w:val="single"/>
        </w:rPr>
      </w:pPr>
      <w:r>
        <w:rPr>
          <w:rFonts w:hint="eastAsia" w:cs="F4,Bold" w:asciiTheme="minorEastAsia" w:hAnsiTheme="minorEastAsia" w:eastAsiaTheme="minorEastAsia"/>
          <w:bCs/>
          <w:color w:val="000000"/>
          <w:kern w:val="0"/>
          <w:sz w:val="22"/>
          <w:szCs w:val="21"/>
        </w:rPr>
        <w:t>研究机构提供的</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样本，运送至</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中心实验室，位于</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p>
    <w:p w14:paraId="439FCD07">
      <w:pPr>
        <w:widowControl/>
        <w:spacing w:line="288" w:lineRule="auto"/>
        <w:jc w:val="left"/>
        <w:rPr>
          <w:rFonts w:hint="eastAsia" w:cs="F4,Bold" w:asciiTheme="minorEastAsia" w:hAnsiTheme="minorEastAsia" w:eastAsiaTheme="minorEastAsia"/>
          <w:bCs/>
          <w:color w:val="000000"/>
          <w:kern w:val="0"/>
          <w:sz w:val="22"/>
          <w:szCs w:val="21"/>
        </w:rPr>
      </w:pP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，该样本将仅用于</w:t>
      </w:r>
      <w:r>
        <w:rPr>
          <w:rFonts w:hint="eastAsia" w:cs="F4,Bold" w:asciiTheme="minorEastAsia" w:hAnsiTheme="minorEastAsia" w:eastAsiaTheme="minorEastAsia"/>
          <w:b/>
          <w:bCs/>
          <w:i/>
          <w:color w:val="000000"/>
          <w:kern w:val="0"/>
          <w:sz w:val="22"/>
          <w:szCs w:val="21"/>
          <w:u w:val="single"/>
        </w:rPr>
        <w:t>药代动力学/药效动力学</w:t>
      </w:r>
      <w:r>
        <w:rPr>
          <w:rFonts w:hint="eastAsia" w:cs="F4,Bold" w:asciiTheme="minorEastAsia" w:hAnsiTheme="minorEastAsia" w:eastAsiaTheme="minorEastAsia"/>
          <w:bCs/>
          <w:color w:val="000000"/>
          <w:kern w:val="0"/>
          <w:sz w:val="22"/>
          <w:szCs w:val="21"/>
        </w:rPr>
        <w:t>检测。</w:t>
      </w:r>
    </w:p>
    <w:p w14:paraId="648969DF">
      <w:pPr>
        <w:widowControl/>
        <w:spacing w:line="288" w:lineRule="auto"/>
        <w:jc w:val="left"/>
        <w:rPr>
          <w:rFonts w:hint="eastAsia" w:cs="F4,Bold" w:asciiTheme="minorEastAsia" w:hAnsiTheme="minorEastAsia" w:eastAsiaTheme="minorEastAsia"/>
          <w:bCs/>
          <w:color w:val="000000"/>
          <w:kern w:val="0"/>
          <w:sz w:val="22"/>
          <w:szCs w:val="21"/>
        </w:rPr>
      </w:pPr>
    </w:p>
    <w:p w14:paraId="06AF722C">
      <w:pPr>
        <w:pStyle w:val="13"/>
        <w:widowControl/>
        <w:numPr>
          <w:ilvl w:val="0"/>
          <w:numId w:val="3"/>
        </w:numPr>
        <w:spacing w:line="288" w:lineRule="auto"/>
        <w:ind w:firstLine="0" w:firstLineChars="0"/>
        <w:jc w:val="left"/>
        <w:rPr>
          <w:rFonts w:hint="eastAsia" w:cs="F4,Bold" w:asciiTheme="minorEastAsia" w:hAnsiTheme="minorEastAsia" w:eastAsiaTheme="minorEastAsia"/>
          <w:bCs/>
          <w:color w:val="000000"/>
          <w:kern w:val="0"/>
          <w:sz w:val="22"/>
          <w:szCs w:val="21"/>
          <w:u w:val="single"/>
        </w:rPr>
      </w:pPr>
      <w:r>
        <w:rPr>
          <w:rFonts w:hint="eastAsia" w:cs="F4,Bold" w:asciiTheme="minorEastAsia" w:hAnsiTheme="minorEastAsia" w:eastAsiaTheme="minorEastAsia"/>
          <w:bCs/>
          <w:color w:val="000000"/>
          <w:kern w:val="0"/>
          <w:sz w:val="22"/>
          <w:szCs w:val="21"/>
        </w:rPr>
        <w:t>研究机构提供的</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样本，运送至</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中心实验室，位于</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p>
    <w:p w14:paraId="13BBB384">
      <w:pPr>
        <w:widowControl/>
        <w:spacing w:line="288" w:lineRule="auto"/>
        <w:jc w:val="left"/>
        <w:rPr>
          <w:rFonts w:hint="eastAsia" w:cs="F4,Bold" w:asciiTheme="minorEastAsia" w:hAnsiTheme="minorEastAsia" w:eastAsiaTheme="minorEastAsia"/>
          <w:bCs/>
          <w:color w:val="000000"/>
          <w:kern w:val="0"/>
          <w:sz w:val="22"/>
          <w:szCs w:val="21"/>
        </w:rPr>
      </w:pP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，该样本将仅用于</w:t>
      </w:r>
      <w:r>
        <w:rPr>
          <w:rFonts w:hint="eastAsia" w:cs="F4,Bold" w:asciiTheme="minorEastAsia" w:hAnsiTheme="minorEastAsia" w:eastAsiaTheme="minorEastAsia"/>
          <w:b/>
          <w:bCs/>
          <w:color w:val="000000"/>
          <w:kern w:val="0"/>
          <w:sz w:val="22"/>
          <w:szCs w:val="21"/>
          <w:u w:val="single"/>
        </w:rPr>
        <w:t xml:space="preserve"> </w:t>
      </w:r>
      <w:r>
        <w:rPr>
          <w:rFonts w:cs="F4,Bold" w:asciiTheme="minorEastAsia" w:hAnsiTheme="minorEastAsia" w:eastAsiaTheme="minorEastAsia"/>
          <w:b/>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检测。</w:t>
      </w:r>
    </w:p>
    <w:p w14:paraId="22E284E7">
      <w:pPr>
        <w:widowControl/>
        <w:spacing w:line="288" w:lineRule="auto"/>
        <w:jc w:val="left"/>
        <w:rPr>
          <w:rFonts w:hint="eastAsia" w:cs="F4,Bold" w:asciiTheme="minorEastAsia" w:hAnsiTheme="minorEastAsia" w:eastAsiaTheme="minorEastAsia"/>
          <w:bCs/>
          <w:color w:val="000000"/>
          <w:kern w:val="0"/>
          <w:sz w:val="22"/>
          <w:szCs w:val="21"/>
        </w:rPr>
      </w:pPr>
    </w:p>
    <w:p w14:paraId="6711635D">
      <w:pPr>
        <w:pStyle w:val="13"/>
        <w:widowControl/>
        <w:numPr>
          <w:ilvl w:val="0"/>
          <w:numId w:val="3"/>
        </w:numPr>
        <w:spacing w:line="288" w:lineRule="auto"/>
        <w:ind w:firstLine="0" w:firstLineChars="0"/>
        <w:jc w:val="left"/>
        <w:rPr>
          <w:rFonts w:hint="eastAsia" w:cs="F4,Bold" w:asciiTheme="minorEastAsia" w:hAnsiTheme="minorEastAsia" w:eastAsiaTheme="minorEastAsia"/>
          <w:bCs/>
          <w:color w:val="000000"/>
          <w:kern w:val="0"/>
          <w:sz w:val="22"/>
          <w:szCs w:val="21"/>
          <w:u w:val="single"/>
        </w:rPr>
      </w:pPr>
      <w:r>
        <w:rPr>
          <w:rFonts w:hint="eastAsia" w:cs="F4,Bold" w:asciiTheme="minorEastAsia" w:hAnsiTheme="minorEastAsia" w:eastAsiaTheme="minorEastAsia"/>
          <w:bCs/>
          <w:color w:val="000000"/>
          <w:kern w:val="0"/>
          <w:sz w:val="22"/>
          <w:szCs w:val="21"/>
        </w:rPr>
        <w:t>研究机构提供的</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样本，运送至</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中心实验室，位于</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p>
    <w:p w14:paraId="211DD1A3">
      <w:pPr>
        <w:widowControl/>
        <w:spacing w:line="288" w:lineRule="auto"/>
        <w:jc w:val="left"/>
        <w:rPr>
          <w:rFonts w:hint="eastAsia" w:cs="F4,Bold" w:asciiTheme="minorEastAsia" w:hAnsiTheme="minorEastAsia" w:eastAsiaTheme="minorEastAsia"/>
          <w:bCs/>
          <w:color w:val="000000"/>
          <w:kern w:val="0"/>
          <w:sz w:val="22"/>
          <w:szCs w:val="21"/>
        </w:rPr>
      </w:pP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，该样本将仅用于</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，共</w:t>
      </w:r>
      <w:r>
        <w:rPr>
          <w:rFonts w:hint="eastAsia" w:cs="F4,Bold" w:asciiTheme="minorEastAsia" w:hAnsiTheme="minorEastAsia" w:eastAsiaTheme="minorEastAsia"/>
          <w:bCs/>
          <w:color w:val="000000"/>
          <w:kern w:val="0"/>
          <w:sz w:val="22"/>
          <w:szCs w:val="21"/>
          <w:u w:val="single"/>
        </w:rPr>
        <w:t xml:space="preserve"> </w:t>
      </w:r>
      <w:r>
        <w:rPr>
          <w:rFonts w:cs="F4,Bold" w:asciiTheme="minorEastAsia" w:hAnsiTheme="minorEastAsia" w:eastAsiaTheme="minorEastAsia"/>
          <w:bCs/>
          <w:color w:val="000000"/>
          <w:kern w:val="0"/>
          <w:sz w:val="22"/>
          <w:szCs w:val="21"/>
          <w:u w:val="single"/>
        </w:rPr>
        <w:t xml:space="preserve">   </w:t>
      </w:r>
      <w:r>
        <w:rPr>
          <w:rFonts w:hint="eastAsia" w:cs="F4,Bold" w:asciiTheme="minorEastAsia" w:hAnsiTheme="minorEastAsia" w:eastAsiaTheme="minorEastAsia"/>
          <w:bCs/>
          <w:color w:val="000000"/>
          <w:kern w:val="0"/>
          <w:sz w:val="22"/>
          <w:szCs w:val="21"/>
        </w:rPr>
        <w:t>种</w:t>
      </w:r>
      <w:r>
        <w:rPr>
          <w:rFonts w:hint="eastAsia" w:cs="F4,Bold" w:asciiTheme="minorEastAsia" w:hAnsiTheme="minorEastAsia" w:eastAsiaTheme="minorEastAsia"/>
          <w:b/>
          <w:bCs/>
          <w:color w:val="000000"/>
          <w:kern w:val="0"/>
          <w:sz w:val="22"/>
          <w:szCs w:val="21"/>
          <w:u w:val="single"/>
        </w:rPr>
        <w:t>基因</w:t>
      </w:r>
      <w:r>
        <w:rPr>
          <w:rFonts w:hint="eastAsia" w:cs="F4,Bold" w:asciiTheme="minorEastAsia" w:hAnsiTheme="minorEastAsia" w:eastAsiaTheme="minorEastAsia"/>
          <w:bCs/>
          <w:color w:val="000000"/>
          <w:kern w:val="0"/>
          <w:sz w:val="22"/>
          <w:szCs w:val="21"/>
        </w:rPr>
        <w:t>检测。</w:t>
      </w:r>
    </w:p>
    <w:p w14:paraId="10000E71">
      <w:pPr>
        <w:widowControl/>
        <w:spacing w:line="288" w:lineRule="auto"/>
        <w:jc w:val="left"/>
        <w:rPr>
          <w:rFonts w:hint="eastAsia" w:cs="F4,Bold" w:asciiTheme="minorEastAsia" w:hAnsiTheme="minorEastAsia" w:eastAsiaTheme="minorEastAsia"/>
          <w:bCs/>
          <w:color w:val="000000"/>
          <w:kern w:val="0"/>
          <w:sz w:val="22"/>
          <w:szCs w:val="21"/>
        </w:rPr>
      </w:pPr>
    </w:p>
    <w:p w14:paraId="6D36CFAD">
      <w:pPr>
        <w:pStyle w:val="13"/>
        <w:widowControl/>
        <w:numPr>
          <w:ilvl w:val="0"/>
          <w:numId w:val="3"/>
        </w:numPr>
        <w:spacing w:line="288" w:lineRule="auto"/>
        <w:ind w:firstLine="0" w:firstLineChars="0"/>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本试验采集的样本只用于本临床试验方案规定的经双方认可的检测项目，不得用于以外的临床试验检测项目，样本不得运送至除中心实验室以外的任何第三方机构。</w:t>
      </w:r>
    </w:p>
    <w:p w14:paraId="6ACA1CC0">
      <w:pPr>
        <w:widowControl/>
        <w:spacing w:line="288" w:lineRule="auto"/>
        <w:jc w:val="left"/>
        <w:rPr>
          <w:rFonts w:hint="eastAsia" w:cs="F4,Bold" w:asciiTheme="minorEastAsia" w:hAnsiTheme="minorEastAsia" w:eastAsiaTheme="minorEastAsia"/>
          <w:bCs/>
          <w:color w:val="000000"/>
          <w:kern w:val="0"/>
          <w:sz w:val="22"/>
          <w:szCs w:val="21"/>
        </w:rPr>
      </w:pPr>
    </w:p>
    <w:p w14:paraId="66BDEA28">
      <w:pPr>
        <w:pStyle w:val="13"/>
        <w:widowControl/>
        <w:numPr>
          <w:ilvl w:val="0"/>
          <w:numId w:val="3"/>
        </w:numPr>
        <w:spacing w:line="288" w:lineRule="auto"/>
        <w:ind w:firstLine="0" w:firstLineChars="0"/>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申办者负责管理中心实验室，确保中心实验室严格按照中国人类遗传资源国际合作项目的批准意见执行，如有违背，研究机构将追究申办者的有关法律责任。</w:t>
      </w:r>
    </w:p>
    <w:p w14:paraId="1ECCFCD7">
      <w:pPr>
        <w:widowControl/>
        <w:spacing w:line="288" w:lineRule="auto"/>
        <w:jc w:val="left"/>
        <w:rPr>
          <w:rFonts w:hint="eastAsia" w:cs="F4,Bold" w:asciiTheme="minorEastAsia" w:hAnsiTheme="minorEastAsia" w:eastAsiaTheme="minorEastAsia"/>
          <w:b/>
          <w:bCs/>
          <w:color w:val="000000"/>
          <w:kern w:val="0"/>
          <w:szCs w:val="21"/>
        </w:rPr>
      </w:pPr>
      <w:r>
        <w:rPr>
          <w:rFonts w:cs="F4,Bold" w:asciiTheme="minorEastAsia" w:hAnsiTheme="minorEastAsia" w:eastAsiaTheme="minorEastAsia"/>
          <w:b/>
          <w:bCs/>
          <w:color w:val="000000"/>
          <w:kern w:val="0"/>
          <w:szCs w:val="21"/>
        </w:rPr>
        <w:br w:type="page"/>
      </w:r>
    </w:p>
    <w:p w14:paraId="390C84B2">
      <w:pPr>
        <w:snapToGrid w:val="0"/>
        <w:spacing w:line="360" w:lineRule="auto"/>
        <w:jc w:val="center"/>
        <w:rPr>
          <w:b/>
          <w:sz w:val="24"/>
        </w:rPr>
      </w:pPr>
      <w:r>
        <w:rPr>
          <w:rFonts w:hint="eastAsia" w:ascii="Arial" w:hAnsi="Arial" w:cs="Arial"/>
          <w:b/>
          <w:color w:val="000000"/>
          <w:kern w:val="0"/>
          <w:sz w:val="24"/>
          <w:lang w:bidi="en-US"/>
        </w:rPr>
        <w:t>附件C：廉洁服务协议</w:t>
      </w:r>
    </w:p>
    <w:p w14:paraId="304B6A2C">
      <w:pPr>
        <w:widowControl/>
        <w:snapToGrid w:val="0"/>
        <w:spacing w:line="360" w:lineRule="auto"/>
        <w:ind w:firstLine="440" w:firstLineChars="200"/>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为规范各类临床研究项目管理等工作，从源头上防止商业贿赂，特订立如下合同。</w:t>
      </w:r>
    </w:p>
    <w:p w14:paraId="5834D4BA">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第一条  甲乙双方的权力和义务：</w:t>
      </w:r>
    </w:p>
    <w:p w14:paraId="7DD1CCFE">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（一）严格遵守国家有关法律法规的有关规定。</w:t>
      </w:r>
    </w:p>
    <w:p w14:paraId="74B21BEA">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（二）严格执行双方签署的临床试验协议。</w:t>
      </w:r>
    </w:p>
    <w:p w14:paraId="6FE5D2B8">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（三）双方的业务活动坚持公开、公正、诚信、透明的原则（除法律认定的商业秘密和合同文件另有规定之外），不得损害国家和集体利益，不得违反有关管理规章制度。</w:t>
      </w:r>
    </w:p>
    <w:p w14:paraId="5ED1E0A4">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（四）发现对方在业务活动有违反廉政规定的行为，有及时提醒对方纠正的权力和义务。</w:t>
      </w:r>
    </w:p>
    <w:p w14:paraId="34A3E0E6">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（五）发现对方有严重违反合同义务条款的行为，有向上级有关部门举报、建议给予处理并要求告之处理结果的权力和义务。</w:t>
      </w:r>
    </w:p>
    <w:p w14:paraId="0DF7B1EC">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第二条  甲乙双方共同承诺：</w:t>
      </w:r>
    </w:p>
    <w:p w14:paraId="72716075">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一）遵守《中华人民共和国刑法》、《中华人民共和国反不正当竞争法》和《最高人民法院、最高人民检察院关于办理商业贿赂刑事案件适用法律若干问题的意见》、《关于禁止商业贿赂行为的暂行规定》等有关规定，共同抵制商业贿赂。</w:t>
      </w:r>
    </w:p>
    <w:p w14:paraId="028E4B6A">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（二）甲方不得为获得不正当的临床试验利益向乙方及其工作人员提供各种财产性利益（包括假借促销费、宣传费、赞助费、科研费、劳务费、咨询费以及回扣、提成、酬金等）。</w:t>
      </w:r>
    </w:p>
    <w:p w14:paraId="27EFCBFE">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（三）甲方不以任何名义向乙方及其工作人员馈赠礼金、有价证券、贵重礼品。</w:t>
      </w:r>
    </w:p>
    <w:p w14:paraId="3571A8BE">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（四）甲方不以任何名义为乙方及其工作人员报销应由个人支付的任何费用。</w:t>
      </w:r>
    </w:p>
    <w:p w14:paraId="646346DB">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（五）甲方不得邀请乙方及其工作人员参加与临床试验工作无关的活动。</w:t>
      </w:r>
    </w:p>
    <w:p w14:paraId="4FA2247D">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（六）甲方不得为乙方及其工作人员购置与临床试验工作无关的物品。</w:t>
      </w:r>
    </w:p>
    <w:p w14:paraId="1A5E9C97">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（七）双方均不得参与其他不正当竞争商业贿赂的行为。</w:t>
      </w:r>
    </w:p>
    <w:p w14:paraId="3AAA03C7">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第三条  违约责任</w:t>
      </w:r>
    </w:p>
    <w:p w14:paraId="275FC89B">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（一）乙方及其工作人员违反本合同，按管理权限，依据有关规定，给子处理；涉嫌犯罪的移交司法机关追究刑事责任。</w:t>
      </w:r>
    </w:p>
    <w:p w14:paraId="209F9796">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（二）甲方及其工作人员违反本合同，乙方终止其合作项目，临床试验协议自动解除，并由甲方承担违约责任。</w:t>
      </w:r>
    </w:p>
    <w:p w14:paraId="25870E97">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第四条  本合同由甲方和乙方（或上级单位的纪检监察机关）负责监督。</w:t>
      </w:r>
    </w:p>
    <w:p w14:paraId="49477A11">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第五条  本合同有效期为甲乙双方签署之日起至合作关系结束为止。</w:t>
      </w:r>
    </w:p>
    <w:p w14:paraId="5622B564">
      <w:pPr>
        <w:widowControl/>
        <w:snapToGrid w:val="0"/>
        <w:spacing w:line="360" w:lineRule="auto"/>
        <w:jc w:val="left"/>
        <w:rPr>
          <w:rFonts w:hint="eastAsia" w:cs="F4,Bold" w:asciiTheme="minorEastAsia" w:hAnsiTheme="minorEastAsia" w:eastAsiaTheme="minorEastAsia"/>
          <w:bCs/>
          <w:color w:val="000000"/>
          <w:kern w:val="0"/>
          <w:sz w:val="22"/>
          <w:szCs w:val="21"/>
        </w:rPr>
      </w:pPr>
      <w:r>
        <w:rPr>
          <w:rFonts w:hint="eastAsia" w:cs="F4,Bold" w:asciiTheme="minorEastAsia" w:hAnsiTheme="minorEastAsia" w:eastAsiaTheme="minorEastAsia"/>
          <w:bCs/>
          <w:color w:val="000000"/>
          <w:kern w:val="0"/>
          <w:sz w:val="22"/>
          <w:szCs w:val="21"/>
        </w:rPr>
        <w:t>第六条  本合同作为临床试验协议的附件，与正式合同具有同等的法律效力。</w:t>
      </w:r>
    </w:p>
    <w:sectPr>
      <w:headerReference r:id="rId6" w:type="first"/>
      <w:footerReference r:id="rId8" w:type="first"/>
      <w:headerReference r:id="rId5" w:type="default"/>
      <w:footerReference r:id="rId7" w:type="default"/>
      <w:pgSz w:w="11906" w:h="16838"/>
      <w:pgMar w:top="1440" w:right="1416" w:bottom="1440" w:left="1701" w:header="851" w:footer="964"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硕" w:date="2023-12-29T09:56:00Z" w:initials="A">
    <w:p w14:paraId="24A3FEE6">
      <w:pPr>
        <w:pStyle w:val="2"/>
        <w:numPr>
          <w:ilvl w:val="0"/>
          <w:numId w:val="1"/>
        </w:numPr>
      </w:pPr>
      <w:r>
        <w:rPr>
          <w:rFonts w:hint="eastAsia"/>
        </w:rPr>
        <w:t>课题号由GCP办公室审核协议时补充；</w:t>
      </w:r>
    </w:p>
    <w:p w14:paraId="3855B0B3">
      <w:pPr>
        <w:pStyle w:val="2"/>
        <w:numPr>
          <w:ilvl w:val="0"/>
          <w:numId w:val="1"/>
        </w:numPr>
      </w:pPr>
      <w:r>
        <w:rPr>
          <w:rFonts w:hint="eastAsia"/>
        </w:rPr>
        <w:t>方案编号请提前键入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55B0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4,Bold">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F1">
    <w:altName w:val="方正舒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ArialMT">
    <w:altName w:val="方正舒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BoldMT">
    <w:altName w:val="方正舒体"/>
    <w:panose1 w:val="00000000000000000000"/>
    <w:charset w:val="86"/>
    <w:family w:val="auto"/>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rPr>
      <w:id w:val="-470211801"/>
    </w:sdtPr>
    <w:sdtEndPr>
      <w:rPr>
        <w:b w:val="0"/>
      </w:rPr>
    </w:sdtEndPr>
    <w:sdtContent>
      <w:sdt>
        <w:sdtPr>
          <w:rPr>
            <w:b/>
          </w:rPr>
          <w:id w:val="-427435826"/>
        </w:sdtPr>
        <w:sdtEndPr>
          <w:rPr>
            <w:b w:val="0"/>
          </w:rPr>
        </w:sdtEndPr>
        <w:sdtContent>
          <w:p w14:paraId="040192F6">
            <w:pPr>
              <w:pStyle w:val="4"/>
              <w:pBdr>
                <w:top w:val="thinThickSmallGap" w:color="auto" w:sz="24" w:space="1"/>
              </w:pBdr>
              <w:wordWrap w:val="0"/>
              <w:ind w:right="720" w:rightChars="343"/>
              <w:jc w:val="right"/>
              <w:rPr>
                <w:b/>
              </w:rPr>
            </w:pPr>
            <w:r>
              <w:rPr>
                <w:rFonts w:hint="eastAsia"/>
                <w:bCs/>
              </w:rPr>
              <w:t>注册新药临床研究</w:t>
            </w:r>
            <w:r>
              <w:rPr>
                <w:rFonts w:hint="eastAsia" w:ascii="宋体" w:hAnsi="宋体"/>
                <w:bCs/>
              </w:rPr>
              <w:t>协议模板（本院参加）</w:t>
            </w:r>
            <w:r>
              <w:rPr>
                <w:rFonts w:hint="eastAsia" w:ascii="宋体" w:hAnsi="宋体"/>
              </w:rPr>
              <w:t>_</w:t>
            </w:r>
            <w:r>
              <w:rPr>
                <w:rFonts w:ascii="宋体" w:hAnsi="宋体"/>
              </w:rPr>
              <w:t>V2.0_2025.9.28</w:t>
            </w:r>
            <w:r>
              <w:rPr>
                <w:rFonts w:hint="eastAsia"/>
                <w:b/>
              </w:rPr>
              <w:t xml:space="preserve">                          </w:t>
            </w:r>
            <w:r>
              <w:t>Page</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rFonts w:hint="eastAsia"/>
                <w:b/>
                <w:bCs/>
                <w:sz w:val="24"/>
                <w:szCs w:val="24"/>
              </w:rPr>
              <w:t xml:space="preserve"> </w:t>
            </w:r>
            <w:r>
              <w:rPr>
                <w:rFonts w:hint="eastAsia"/>
                <w:lang w:val="zh-CN"/>
              </w:rPr>
              <w:t xml:space="preserve">of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rPr>
      <w:id w:val="147462860"/>
    </w:sdtPr>
    <w:sdtEndPr>
      <w:rPr>
        <w:b w:val="0"/>
      </w:rPr>
    </w:sdtEndPr>
    <w:sdtContent>
      <w:p w14:paraId="52CB378B">
        <w:pPr>
          <w:pStyle w:val="4"/>
          <w:pBdr>
            <w:top w:val="thinThickSmallGap" w:color="auto" w:sz="24" w:space="1"/>
          </w:pBdr>
          <w:wordWrap w:val="0"/>
          <w:ind w:right="720" w:rightChars="343"/>
          <w:jc w:val="right"/>
        </w:pPr>
        <w:r>
          <w:rPr>
            <w:rFonts w:hint="eastAsia"/>
            <w:bCs/>
          </w:rPr>
          <w:t>注册新药临床研究</w:t>
        </w:r>
        <w:r>
          <w:rPr>
            <w:rFonts w:hint="eastAsia" w:ascii="宋体" w:hAnsi="宋体"/>
            <w:bCs/>
          </w:rPr>
          <w:t>协议模板（本院参加）_</w:t>
        </w:r>
        <w:r>
          <w:rPr>
            <w:rFonts w:ascii="宋体" w:hAnsi="宋体"/>
            <w:bCs/>
          </w:rPr>
          <w:t>V2.0_2025.9.28</w:t>
        </w:r>
        <w:r>
          <w:rPr>
            <w:rFonts w:hint="eastAsia"/>
            <w:b/>
          </w:rPr>
          <w:t xml:space="preserve">                           </w:t>
        </w:r>
        <w:r>
          <w:t>Page</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rFonts w:hint="eastAsia"/>
            <w:b/>
            <w:bCs/>
            <w:sz w:val="24"/>
            <w:szCs w:val="24"/>
          </w:rPr>
          <w:t xml:space="preserve"> </w:t>
        </w:r>
        <w:r>
          <w:rPr>
            <w:rFonts w:hint="eastAsia"/>
            <w:lang w:val="zh-CN"/>
          </w:rPr>
          <w:t xml:space="preserve">of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0F45D">
    <w:pPr>
      <w:pStyle w:val="5"/>
      <w:jc w:val="left"/>
    </w:pPr>
    <w:r>
      <w:rPr>
        <w:rFonts w:hint="eastAsia"/>
        <w:highlight w:val="yellow"/>
      </w:rPr>
      <w:t>【请键入方案编号】</w:t>
    </w:r>
    <w:r>
      <w:rPr>
        <w:highlight w:val="yellow"/>
      </w:rPr>
      <w:t>临床试验协议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088A">
    <w:pPr>
      <w:pStyle w:val="5"/>
      <w:jc w:val="left"/>
    </w:pPr>
    <w:r>
      <w:rPr>
        <w:rFonts w:hint="eastAsia"/>
        <w:highlight w:val="yellow"/>
      </w:rPr>
      <w:t>【请键入方案编号】</w:t>
    </w:r>
    <w:r>
      <w:rPr>
        <w:highlight w:val="yellow"/>
      </w:rPr>
      <w:t>临床</w:t>
    </w:r>
    <w:r>
      <w:rPr>
        <w:rFonts w:hint="eastAsia"/>
        <w:highlight w:val="yellow"/>
      </w:rPr>
      <w:t>研究</w:t>
    </w:r>
    <w:r>
      <w:rPr>
        <w:highlight w:val="yellow"/>
      </w:rPr>
      <w:t>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75FC5"/>
    <w:multiLevelType w:val="multilevel"/>
    <w:tmpl w:val="0EE75F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3302296"/>
    <w:multiLevelType w:val="multilevel"/>
    <w:tmpl w:val="233022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9C3B1A"/>
    <w:multiLevelType w:val="multilevel"/>
    <w:tmpl w:val="249C3B1A"/>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硕">
    <w15:presenceInfo w15:providerId="Windows Live" w15:userId="d8c41ebf28ee5d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NjAyODViNmEwMjk5NzQwOTgzN2E0NzI2OTUwOWUifQ=="/>
  </w:docVars>
  <w:rsids>
    <w:rsidRoot w:val="005A4491"/>
    <w:rsid w:val="00005884"/>
    <w:rsid w:val="00006D69"/>
    <w:rsid w:val="00031BE1"/>
    <w:rsid w:val="000453EA"/>
    <w:rsid w:val="00046448"/>
    <w:rsid w:val="00062BFA"/>
    <w:rsid w:val="000643D2"/>
    <w:rsid w:val="00075CE3"/>
    <w:rsid w:val="0009131D"/>
    <w:rsid w:val="00093A98"/>
    <w:rsid w:val="00096408"/>
    <w:rsid w:val="000A2CBE"/>
    <w:rsid w:val="000D182E"/>
    <w:rsid w:val="000E68F4"/>
    <w:rsid w:val="001045F2"/>
    <w:rsid w:val="00105BF7"/>
    <w:rsid w:val="001067C6"/>
    <w:rsid w:val="00122D7C"/>
    <w:rsid w:val="001374CB"/>
    <w:rsid w:val="00142947"/>
    <w:rsid w:val="001623BB"/>
    <w:rsid w:val="001653EB"/>
    <w:rsid w:val="00166A5B"/>
    <w:rsid w:val="00166AC5"/>
    <w:rsid w:val="001775A1"/>
    <w:rsid w:val="00177F9E"/>
    <w:rsid w:val="00191650"/>
    <w:rsid w:val="0019213A"/>
    <w:rsid w:val="00193EBD"/>
    <w:rsid w:val="001A3FD8"/>
    <w:rsid w:val="001C6038"/>
    <w:rsid w:val="001C60E7"/>
    <w:rsid w:val="001F68B8"/>
    <w:rsid w:val="001F7121"/>
    <w:rsid w:val="00201D44"/>
    <w:rsid w:val="002036B0"/>
    <w:rsid w:val="00203999"/>
    <w:rsid w:val="00205F73"/>
    <w:rsid w:val="00210828"/>
    <w:rsid w:val="002159A6"/>
    <w:rsid w:val="0022658A"/>
    <w:rsid w:val="00226DB1"/>
    <w:rsid w:val="00237735"/>
    <w:rsid w:val="0025643E"/>
    <w:rsid w:val="002653E7"/>
    <w:rsid w:val="00287226"/>
    <w:rsid w:val="002A0F53"/>
    <w:rsid w:val="002A41F5"/>
    <w:rsid w:val="002A4FF4"/>
    <w:rsid w:val="002B7C19"/>
    <w:rsid w:val="002C34EF"/>
    <w:rsid w:val="002C3BCE"/>
    <w:rsid w:val="002D6F94"/>
    <w:rsid w:val="002E1DBF"/>
    <w:rsid w:val="002E62A3"/>
    <w:rsid w:val="002F07C0"/>
    <w:rsid w:val="002F7275"/>
    <w:rsid w:val="00300D31"/>
    <w:rsid w:val="003014B4"/>
    <w:rsid w:val="003033AD"/>
    <w:rsid w:val="00312DA0"/>
    <w:rsid w:val="00336A0A"/>
    <w:rsid w:val="00340E55"/>
    <w:rsid w:val="00342824"/>
    <w:rsid w:val="00355EC1"/>
    <w:rsid w:val="00360A92"/>
    <w:rsid w:val="003644CA"/>
    <w:rsid w:val="00370974"/>
    <w:rsid w:val="003748D7"/>
    <w:rsid w:val="00377C2D"/>
    <w:rsid w:val="003805B3"/>
    <w:rsid w:val="0038415C"/>
    <w:rsid w:val="00386830"/>
    <w:rsid w:val="00396A72"/>
    <w:rsid w:val="003A3DC4"/>
    <w:rsid w:val="003A56CC"/>
    <w:rsid w:val="003B1B23"/>
    <w:rsid w:val="003C0C50"/>
    <w:rsid w:val="003C557F"/>
    <w:rsid w:val="003D517E"/>
    <w:rsid w:val="003E3C65"/>
    <w:rsid w:val="00414E21"/>
    <w:rsid w:val="004166B6"/>
    <w:rsid w:val="004343B8"/>
    <w:rsid w:val="00436B91"/>
    <w:rsid w:val="0044160F"/>
    <w:rsid w:val="004418CC"/>
    <w:rsid w:val="00443262"/>
    <w:rsid w:val="004479D3"/>
    <w:rsid w:val="0045484A"/>
    <w:rsid w:val="004560A9"/>
    <w:rsid w:val="0047307B"/>
    <w:rsid w:val="004A0FBA"/>
    <w:rsid w:val="004A3AC7"/>
    <w:rsid w:val="004D493C"/>
    <w:rsid w:val="004E25C9"/>
    <w:rsid w:val="004E2E4D"/>
    <w:rsid w:val="004E5F7D"/>
    <w:rsid w:val="004E616B"/>
    <w:rsid w:val="004F62E3"/>
    <w:rsid w:val="00520DD3"/>
    <w:rsid w:val="00522495"/>
    <w:rsid w:val="00523F8F"/>
    <w:rsid w:val="0053072F"/>
    <w:rsid w:val="00533E42"/>
    <w:rsid w:val="00536337"/>
    <w:rsid w:val="005510E7"/>
    <w:rsid w:val="00554BA1"/>
    <w:rsid w:val="00557ECF"/>
    <w:rsid w:val="005608D9"/>
    <w:rsid w:val="005669CD"/>
    <w:rsid w:val="005748B5"/>
    <w:rsid w:val="005812CE"/>
    <w:rsid w:val="005820DA"/>
    <w:rsid w:val="00595129"/>
    <w:rsid w:val="005A4491"/>
    <w:rsid w:val="005B230E"/>
    <w:rsid w:val="005B645E"/>
    <w:rsid w:val="005C0633"/>
    <w:rsid w:val="005D3805"/>
    <w:rsid w:val="005D67EC"/>
    <w:rsid w:val="005E2061"/>
    <w:rsid w:val="005E25C2"/>
    <w:rsid w:val="005E5C00"/>
    <w:rsid w:val="005E6E39"/>
    <w:rsid w:val="005E7522"/>
    <w:rsid w:val="005F0CAF"/>
    <w:rsid w:val="005F7C85"/>
    <w:rsid w:val="006155F0"/>
    <w:rsid w:val="00615D1E"/>
    <w:rsid w:val="00616CE6"/>
    <w:rsid w:val="006177C4"/>
    <w:rsid w:val="00622C05"/>
    <w:rsid w:val="00626553"/>
    <w:rsid w:val="006270B5"/>
    <w:rsid w:val="00630ED7"/>
    <w:rsid w:val="0063718E"/>
    <w:rsid w:val="00651002"/>
    <w:rsid w:val="00661A48"/>
    <w:rsid w:val="00665ACB"/>
    <w:rsid w:val="00673D27"/>
    <w:rsid w:val="00677DA2"/>
    <w:rsid w:val="00682EDC"/>
    <w:rsid w:val="006B288C"/>
    <w:rsid w:val="006C5E46"/>
    <w:rsid w:val="006E14EC"/>
    <w:rsid w:val="006E65DB"/>
    <w:rsid w:val="006F4993"/>
    <w:rsid w:val="00703EBC"/>
    <w:rsid w:val="007044D6"/>
    <w:rsid w:val="0071049F"/>
    <w:rsid w:val="007149C9"/>
    <w:rsid w:val="007205EA"/>
    <w:rsid w:val="00721EB1"/>
    <w:rsid w:val="0074745F"/>
    <w:rsid w:val="007516CA"/>
    <w:rsid w:val="0075581C"/>
    <w:rsid w:val="007572E2"/>
    <w:rsid w:val="00761173"/>
    <w:rsid w:val="00767880"/>
    <w:rsid w:val="00774C39"/>
    <w:rsid w:val="0078491C"/>
    <w:rsid w:val="007C27E8"/>
    <w:rsid w:val="007E27E7"/>
    <w:rsid w:val="007E7980"/>
    <w:rsid w:val="007F5C56"/>
    <w:rsid w:val="00801BA3"/>
    <w:rsid w:val="00814307"/>
    <w:rsid w:val="00814807"/>
    <w:rsid w:val="00826733"/>
    <w:rsid w:val="00831A8B"/>
    <w:rsid w:val="008332D8"/>
    <w:rsid w:val="0084786F"/>
    <w:rsid w:val="00852722"/>
    <w:rsid w:val="00855D22"/>
    <w:rsid w:val="0085736C"/>
    <w:rsid w:val="00857417"/>
    <w:rsid w:val="00865C7F"/>
    <w:rsid w:val="008666AE"/>
    <w:rsid w:val="0087332A"/>
    <w:rsid w:val="00876785"/>
    <w:rsid w:val="00885AB4"/>
    <w:rsid w:val="00887EF8"/>
    <w:rsid w:val="008A389D"/>
    <w:rsid w:val="008B73C0"/>
    <w:rsid w:val="008D276F"/>
    <w:rsid w:val="008F1A9B"/>
    <w:rsid w:val="008F6CA7"/>
    <w:rsid w:val="00901E76"/>
    <w:rsid w:val="0090519E"/>
    <w:rsid w:val="00906FF2"/>
    <w:rsid w:val="00907F03"/>
    <w:rsid w:val="009135FC"/>
    <w:rsid w:val="00914965"/>
    <w:rsid w:val="009149D8"/>
    <w:rsid w:val="00927C60"/>
    <w:rsid w:val="009357A7"/>
    <w:rsid w:val="00943AFC"/>
    <w:rsid w:val="0096083D"/>
    <w:rsid w:val="00964668"/>
    <w:rsid w:val="0098516E"/>
    <w:rsid w:val="0099441E"/>
    <w:rsid w:val="00994787"/>
    <w:rsid w:val="009B24C2"/>
    <w:rsid w:val="009B2C89"/>
    <w:rsid w:val="009B3C10"/>
    <w:rsid w:val="009D7E74"/>
    <w:rsid w:val="009E20CA"/>
    <w:rsid w:val="009E3B37"/>
    <w:rsid w:val="00A11F13"/>
    <w:rsid w:val="00A13B09"/>
    <w:rsid w:val="00A13DA5"/>
    <w:rsid w:val="00A23481"/>
    <w:rsid w:val="00A23FC4"/>
    <w:rsid w:val="00A243D5"/>
    <w:rsid w:val="00A2553E"/>
    <w:rsid w:val="00A25F86"/>
    <w:rsid w:val="00A2702F"/>
    <w:rsid w:val="00A3398E"/>
    <w:rsid w:val="00A40888"/>
    <w:rsid w:val="00A43E89"/>
    <w:rsid w:val="00A603E5"/>
    <w:rsid w:val="00A60E0B"/>
    <w:rsid w:val="00A60EA0"/>
    <w:rsid w:val="00A74DF2"/>
    <w:rsid w:val="00A93E2F"/>
    <w:rsid w:val="00AA2117"/>
    <w:rsid w:val="00AA4002"/>
    <w:rsid w:val="00AB22F4"/>
    <w:rsid w:val="00AB278F"/>
    <w:rsid w:val="00AC1785"/>
    <w:rsid w:val="00AD408D"/>
    <w:rsid w:val="00AD63A0"/>
    <w:rsid w:val="00AD7D9E"/>
    <w:rsid w:val="00AE1E00"/>
    <w:rsid w:val="00AE38E1"/>
    <w:rsid w:val="00AF36EB"/>
    <w:rsid w:val="00B01B7A"/>
    <w:rsid w:val="00B0739C"/>
    <w:rsid w:val="00B10259"/>
    <w:rsid w:val="00B16344"/>
    <w:rsid w:val="00B20397"/>
    <w:rsid w:val="00B2051B"/>
    <w:rsid w:val="00B2300A"/>
    <w:rsid w:val="00B26431"/>
    <w:rsid w:val="00B401D2"/>
    <w:rsid w:val="00B47C70"/>
    <w:rsid w:val="00B72C62"/>
    <w:rsid w:val="00B7716F"/>
    <w:rsid w:val="00BA04A4"/>
    <w:rsid w:val="00BA116E"/>
    <w:rsid w:val="00BA3405"/>
    <w:rsid w:val="00BB4D30"/>
    <w:rsid w:val="00BC21C4"/>
    <w:rsid w:val="00BC4E71"/>
    <w:rsid w:val="00C03B92"/>
    <w:rsid w:val="00C114D5"/>
    <w:rsid w:val="00C14BF4"/>
    <w:rsid w:val="00C211FA"/>
    <w:rsid w:val="00C21386"/>
    <w:rsid w:val="00C22B60"/>
    <w:rsid w:val="00C272F4"/>
    <w:rsid w:val="00C3214A"/>
    <w:rsid w:val="00C34440"/>
    <w:rsid w:val="00C44170"/>
    <w:rsid w:val="00C4439B"/>
    <w:rsid w:val="00C4766D"/>
    <w:rsid w:val="00C477FE"/>
    <w:rsid w:val="00C52D62"/>
    <w:rsid w:val="00C57168"/>
    <w:rsid w:val="00C63CE5"/>
    <w:rsid w:val="00C64D7C"/>
    <w:rsid w:val="00C71C29"/>
    <w:rsid w:val="00C745A1"/>
    <w:rsid w:val="00C83144"/>
    <w:rsid w:val="00C9421A"/>
    <w:rsid w:val="00CA293E"/>
    <w:rsid w:val="00CA5E0D"/>
    <w:rsid w:val="00CB0F84"/>
    <w:rsid w:val="00CB4E16"/>
    <w:rsid w:val="00CB6022"/>
    <w:rsid w:val="00CC5FEF"/>
    <w:rsid w:val="00CC6BAA"/>
    <w:rsid w:val="00CD4A6E"/>
    <w:rsid w:val="00CD7B73"/>
    <w:rsid w:val="00CE3778"/>
    <w:rsid w:val="00CF575C"/>
    <w:rsid w:val="00D07C90"/>
    <w:rsid w:val="00D10628"/>
    <w:rsid w:val="00D11605"/>
    <w:rsid w:val="00D1433C"/>
    <w:rsid w:val="00D167F6"/>
    <w:rsid w:val="00D2080B"/>
    <w:rsid w:val="00D20E99"/>
    <w:rsid w:val="00D22F74"/>
    <w:rsid w:val="00D30EED"/>
    <w:rsid w:val="00D446B8"/>
    <w:rsid w:val="00D540CD"/>
    <w:rsid w:val="00D631FC"/>
    <w:rsid w:val="00D678FA"/>
    <w:rsid w:val="00D72B7D"/>
    <w:rsid w:val="00D74AC4"/>
    <w:rsid w:val="00D8323E"/>
    <w:rsid w:val="00D84B48"/>
    <w:rsid w:val="00D8762A"/>
    <w:rsid w:val="00D91B1A"/>
    <w:rsid w:val="00D93A12"/>
    <w:rsid w:val="00D94DC3"/>
    <w:rsid w:val="00D95D5C"/>
    <w:rsid w:val="00D97DDB"/>
    <w:rsid w:val="00DA18E1"/>
    <w:rsid w:val="00DB0182"/>
    <w:rsid w:val="00DB0C1F"/>
    <w:rsid w:val="00DB519B"/>
    <w:rsid w:val="00DB53F8"/>
    <w:rsid w:val="00DC0499"/>
    <w:rsid w:val="00DD5F90"/>
    <w:rsid w:val="00DD601B"/>
    <w:rsid w:val="00DF085C"/>
    <w:rsid w:val="00E061E2"/>
    <w:rsid w:val="00E1200C"/>
    <w:rsid w:val="00E34220"/>
    <w:rsid w:val="00E34805"/>
    <w:rsid w:val="00E43762"/>
    <w:rsid w:val="00E44C6F"/>
    <w:rsid w:val="00E50460"/>
    <w:rsid w:val="00E57054"/>
    <w:rsid w:val="00E66A14"/>
    <w:rsid w:val="00E67E41"/>
    <w:rsid w:val="00E707DB"/>
    <w:rsid w:val="00E713AF"/>
    <w:rsid w:val="00E91526"/>
    <w:rsid w:val="00E9319A"/>
    <w:rsid w:val="00E94C5C"/>
    <w:rsid w:val="00EA66E3"/>
    <w:rsid w:val="00EB1229"/>
    <w:rsid w:val="00EB2908"/>
    <w:rsid w:val="00EC05E9"/>
    <w:rsid w:val="00EC446C"/>
    <w:rsid w:val="00EE0095"/>
    <w:rsid w:val="00EE1AE2"/>
    <w:rsid w:val="00EE3122"/>
    <w:rsid w:val="00EE65DE"/>
    <w:rsid w:val="00EE78AC"/>
    <w:rsid w:val="00EE79E2"/>
    <w:rsid w:val="00EF0169"/>
    <w:rsid w:val="00EF2BFD"/>
    <w:rsid w:val="00F04D24"/>
    <w:rsid w:val="00F101C8"/>
    <w:rsid w:val="00F12B51"/>
    <w:rsid w:val="00F21124"/>
    <w:rsid w:val="00F3382E"/>
    <w:rsid w:val="00F34DEE"/>
    <w:rsid w:val="00F35314"/>
    <w:rsid w:val="00F4128F"/>
    <w:rsid w:val="00F456CB"/>
    <w:rsid w:val="00F45F2C"/>
    <w:rsid w:val="00F52D4E"/>
    <w:rsid w:val="00F771F4"/>
    <w:rsid w:val="00F83ECC"/>
    <w:rsid w:val="00F86407"/>
    <w:rsid w:val="00FB0724"/>
    <w:rsid w:val="00FB5BE2"/>
    <w:rsid w:val="00FC003D"/>
    <w:rsid w:val="00FF6264"/>
    <w:rsid w:val="010E7B44"/>
    <w:rsid w:val="03BD5AE4"/>
    <w:rsid w:val="04F9231F"/>
    <w:rsid w:val="06894F9F"/>
    <w:rsid w:val="06CC0022"/>
    <w:rsid w:val="0D2A1BF3"/>
    <w:rsid w:val="1D2A2109"/>
    <w:rsid w:val="217E0D27"/>
    <w:rsid w:val="21AA085E"/>
    <w:rsid w:val="2E921798"/>
    <w:rsid w:val="2EC91246"/>
    <w:rsid w:val="2FEB470F"/>
    <w:rsid w:val="30F2144F"/>
    <w:rsid w:val="3D3252DB"/>
    <w:rsid w:val="439D2F55"/>
    <w:rsid w:val="47D14C87"/>
    <w:rsid w:val="4EA50C1B"/>
    <w:rsid w:val="582672DA"/>
    <w:rsid w:val="5AD82453"/>
    <w:rsid w:val="6DAC669C"/>
    <w:rsid w:val="6F1D0791"/>
    <w:rsid w:val="70497201"/>
    <w:rsid w:val="7A1705A8"/>
    <w:rsid w:val="7BF45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1"/>
    <w:semiHidden/>
    <w:unhideWhenUsed/>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themeColor="hyperlink"/>
      <w:u w:val="single"/>
      <w14:textFill>
        <w14:solidFill>
          <w14:schemeClr w14:val="hlink"/>
        </w14:solidFill>
      </w14:textFill>
    </w:rPr>
  </w:style>
  <w:style w:type="character" w:styleId="11">
    <w:name w:val="annotation reference"/>
    <w:basedOn w:val="9"/>
    <w:semiHidden/>
    <w:unhideWhenUsed/>
    <w:qFormat/>
    <w:uiPriority w:val="0"/>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99"/>
    <w:rPr>
      <w:kern w:val="2"/>
      <w:sz w:val="18"/>
      <w:szCs w:val="18"/>
    </w:rPr>
  </w:style>
  <w:style w:type="paragraph" w:styleId="16">
    <w:name w:val="No Spacing"/>
    <w:link w:val="17"/>
    <w:qFormat/>
    <w:uiPriority w:val="1"/>
    <w:rPr>
      <w:rFonts w:asciiTheme="minorHAnsi" w:hAnsiTheme="minorHAnsi" w:eastAsiaTheme="minorEastAsia" w:cstheme="minorBidi"/>
      <w:sz w:val="22"/>
      <w:szCs w:val="22"/>
      <w:lang w:val="en-US" w:eastAsia="zh-CN" w:bidi="ar-SA"/>
    </w:rPr>
  </w:style>
  <w:style w:type="character" w:customStyle="1" w:styleId="17">
    <w:name w:val="无间隔 字符"/>
    <w:basedOn w:val="9"/>
    <w:link w:val="16"/>
    <w:qFormat/>
    <w:uiPriority w:val="1"/>
    <w:rPr>
      <w:rFonts w:asciiTheme="minorHAnsi" w:hAnsiTheme="minorHAnsi" w:eastAsiaTheme="minorEastAsia" w:cstheme="minorBidi"/>
      <w:sz w:val="22"/>
      <w:szCs w:val="22"/>
    </w:rPr>
  </w:style>
  <w:style w:type="character" w:customStyle="1" w:styleId="18">
    <w:name w:val="批注框文本 字符"/>
    <w:basedOn w:val="9"/>
    <w:link w:val="3"/>
    <w:qFormat/>
    <w:uiPriority w:val="0"/>
    <w:rPr>
      <w:kern w:val="2"/>
      <w:sz w:val="18"/>
      <w:szCs w:val="18"/>
    </w:rPr>
  </w:style>
  <w:style w:type="table" w:customStyle="1" w:styleId="19">
    <w:name w:val="无格式表格 11"/>
    <w:basedOn w:val="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0">
    <w:name w:val="批注文字 字符"/>
    <w:basedOn w:val="9"/>
    <w:link w:val="2"/>
    <w:semiHidden/>
    <w:qFormat/>
    <w:uiPriority w:val="0"/>
    <w:rPr>
      <w:kern w:val="2"/>
      <w:sz w:val="21"/>
      <w:szCs w:val="24"/>
    </w:rPr>
  </w:style>
  <w:style w:type="character" w:customStyle="1" w:styleId="21">
    <w:name w:val="批注主题 字符"/>
    <w:basedOn w:val="20"/>
    <w:link w:val="6"/>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签署日期：     年   月   日 </Abstract>
  <CompanyAddress/>
  <CompanyPhone/>
  <CompanyFax/>
  <CompanyEmail/>
</CoverPageProperties>
</file>

<file path=customXml/itemProps1.xml><?xml version="1.0" encoding="utf-8"?>
<ds:datastoreItem xmlns:ds="http://schemas.openxmlformats.org/officeDocument/2006/customXml" ds:itemID="{EF37D4D6-552F-4B51-86B8-8C32F5D2152B}">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7967</Words>
  <Characters>8359</Characters>
  <Lines>64</Lines>
  <Paragraphs>18</Paragraphs>
  <TotalTime>0</TotalTime>
  <ScaleCrop>false</ScaleCrop>
  <LinksUpToDate>false</LinksUpToDate>
  <CharactersWithSpaces>8723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2019-02-19T08:25:00Z</dcterms:created>
  <dc:creator>User</dc:creator>
  <cp:lastModifiedBy>Mariah</cp:lastModifiedBy>
  <cp:lastPrinted>2019-04-22T02:41:00Z</cp:lastPrinted>
  <dcterms:modified xsi:type="dcterms:W3CDTF">2025-09-28T02:41:27Z</dcterms:modified>
  <dc:subject>临床研究协议</dc:subject>
  <dc:title>项目名称</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1A1458CD23EE455F9CC79B6983E306DA_13</vt:lpwstr>
  </property>
  <property fmtid="{D5CDD505-2E9C-101B-9397-08002B2CF9AE}" pid="4" name="KSOTemplateDocerSaveRecord">
    <vt:lpwstr>eyJoZGlkIjoiYjY0ZGNjYTE5OWJlOWIxYTAyMTk5NDEyYTY5ZTQxMzgiLCJ1c2VySWQiOiI1MTMyOTkyMTkifQ==</vt:lpwstr>
  </property>
</Properties>
</file>